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41AD" w14:textId="77777777" w:rsidR="00797197" w:rsidRDefault="00797197" w:rsidP="00675FD0">
      <w:pPr>
        <w:pStyle w:val="Heading1"/>
        <w:spacing w:before="0" w:after="0" w:line="240" w:lineRule="auto"/>
        <w:jc w:val="center"/>
        <w:rPr>
          <w:sz w:val="28"/>
        </w:rPr>
      </w:pPr>
      <w:bookmarkStart w:id="0" w:name="Radicalisation"/>
      <w:bookmarkEnd w:id="0"/>
    </w:p>
    <w:p w14:paraId="50876418" w14:textId="22FA8E49" w:rsidR="00797197" w:rsidRDefault="00797197" w:rsidP="00797197">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6D076A56" wp14:editId="3AE94B4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2054011559"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11559"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7517DA7C" w14:textId="77777777" w:rsidR="00797197" w:rsidRDefault="00797197" w:rsidP="0079719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2F25CB39" w:rsidR="00410DEF" w:rsidRPr="00944872" w:rsidRDefault="00797197" w:rsidP="00797197">
      <w:pPr>
        <w:pStyle w:val="Heading1"/>
        <w:spacing w:before="0" w:after="0" w:line="240" w:lineRule="auto"/>
        <w:jc w:val="center"/>
        <w:rPr>
          <w:sz w:val="28"/>
        </w:rPr>
      </w:pPr>
      <w:r>
        <w:rPr>
          <w:rFonts w:ascii="Gill Sans MT" w:hAnsi="Gill Sans MT"/>
          <w:b w:val="0"/>
          <w:bCs w:val="0"/>
          <w:color w:val="0000FF"/>
          <w:sz w:val="28"/>
        </w:rPr>
        <w:t xml:space="preserve">                               </w:t>
      </w:r>
      <w:r w:rsidR="00675FD0">
        <w:rPr>
          <w:sz w:val="28"/>
        </w:rPr>
        <w:br/>
      </w:r>
      <w:r w:rsidR="008C52B5">
        <w:rPr>
          <w:sz w:val="28"/>
        </w:rPr>
        <w:t>RADICALISATION</w:t>
      </w:r>
    </w:p>
    <w:p w14:paraId="42C6E9DA" w14:textId="16C93454" w:rsidR="00A61A71" w:rsidRDefault="00B14A79" w:rsidP="00C537B0">
      <w:pPr>
        <w:pStyle w:val="WPHeading"/>
      </w:pPr>
      <w:r w:rsidRPr="00B14A79">
        <w:t>Scope</w:t>
      </w:r>
    </w:p>
    <w:p w14:paraId="02ED536C" w14:textId="3761B4AC" w:rsidR="000E1AAF" w:rsidRPr="00C537B0" w:rsidRDefault="00B7150E" w:rsidP="00C537B0">
      <w:pPr>
        <w:pStyle w:val="WPBullet"/>
        <w:rPr>
          <w:b/>
          <w:bCs/>
          <w:lang w:bidi="en-US"/>
        </w:rPr>
      </w:pPr>
      <w:r w:rsidRPr="00C537B0">
        <w:rPr>
          <w:b/>
          <w:bCs/>
          <w:lang w:bidi="en-US"/>
        </w:rPr>
        <w:t>Policy Statement</w:t>
      </w:r>
    </w:p>
    <w:p w14:paraId="3A5D0C91" w14:textId="39E7DC40" w:rsidR="001B7FE2" w:rsidRPr="00766A63" w:rsidRDefault="001B7FE2" w:rsidP="00C537B0">
      <w:pPr>
        <w:pStyle w:val="WPBullet"/>
        <w:rPr>
          <w:lang w:bidi="en-US"/>
        </w:rPr>
      </w:pPr>
      <w:r w:rsidRPr="00766A63">
        <w:rPr>
          <w:lang w:bidi="en-US"/>
        </w:rPr>
        <w:t>Schedule 6 list</w:t>
      </w:r>
    </w:p>
    <w:p w14:paraId="0EF96329" w14:textId="2EC8EFAA" w:rsidR="001B7FE2" w:rsidRPr="00766A63" w:rsidRDefault="001B7FE2" w:rsidP="00C537B0">
      <w:pPr>
        <w:pStyle w:val="WPBullet"/>
        <w:rPr>
          <w:lang w:bidi="en-US"/>
        </w:rPr>
      </w:pPr>
      <w:r w:rsidRPr="00766A63">
        <w:rPr>
          <w:lang w:bidi="en-US"/>
        </w:rPr>
        <w:t>The Prevent Strategy</w:t>
      </w:r>
    </w:p>
    <w:p w14:paraId="6D9F1835" w14:textId="4DE9AA8B" w:rsidR="001B7FE2" w:rsidRPr="00766A63" w:rsidRDefault="001B7FE2" w:rsidP="00C537B0">
      <w:pPr>
        <w:pStyle w:val="WPBullet"/>
        <w:rPr>
          <w:lang w:bidi="en-US"/>
        </w:rPr>
      </w:pPr>
      <w:r w:rsidRPr="00766A63">
        <w:rPr>
          <w:lang w:bidi="en-US"/>
        </w:rPr>
        <w:t>Prevent Strategy Objectives</w:t>
      </w:r>
    </w:p>
    <w:p w14:paraId="1C067DCE" w14:textId="184084F1" w:rsidR="0053099B" w:rsidRPr="00C537B0" w:rsidRDefault="00090B3F" w:rsidP="00C537B0">
      <w:pPr>
        <w:pStyle w:val="WPBullet"/>
        <w:rPr>
          <w:b/>
          <w:bCs/>
          <w:lang w:bidi="en-US"/>
        </w:rPr>
      </w:pPr>
      <w:r w:rsidRPr="00C537B0">
        <w:rPr>
          <w:b/>
          <w:bCs/>
          <w:lang w:bidi="en-US"/>
        </w:rPr>
        <w:t>T</w:t>
      </w:r>
      <w:r w:rsidR="00B7150E" w:rsidRPr="00C537B0">
        <w:rPr>
          <w:b/>
          <w:bCs/>
          <w:lang w:bidi="en-US"/>
        </w:rPr>
        <w:t>he Polic</w:t>
      </w:r>
      <w:r w:rsidR="00D6264C" w:rsidRPr="00C537B0">
        <w:rPr>
          <w:b/>
          <w:bCs/>
          <w:lang w:bidi="en-US"/>
        </w:rPr>
        <w:t>y</w:t>
      </w:r>
    </w:p>
    <w:p w14:paraId="7E38E159" w14:textId="2745BD14" w:rsidR="001B7FE2" w:rsidRDefault="001B7FE2" w:rsidP="00C537B0">
      <w:pPr>
        <w:pStyle w:val="WPBullet"/>
        <w:rPr>
          <w:lang w:bidi="en-US"/>
        </w:rPr>
      </w:pPr>
      <w:r>
        <w:rPr>
          <w:lang w:bidi="en-US"/>
        </w:rPr>
        <w:t>The Statutory Guidance</w:t>
      </w:r>
    </w:p>
    <w:p w14:paraId="39737764" w14:textId="0862D8E7" w:rsidR="001B7FE2" w:rsidRPr="00766A63" w:rsidRDefault="001B7FE2" w:rsidP="00C537B0">
      <w:pPr>
        <w:pStyle w:val="WPBullet"/>
        <w:numPr>
          <w:ilvl w:val="0"/>
          <w:numId w:val="19"/>
        </w:numPr>
        <w:rPr>
          <w:lang w:bidi="en-US"/>
        </w:rPr>
      </w:pPr>
      <w:r w:rsidRPr="00766A63">
        <w:rPr>
          <w:lang w:bidi="en-US"/>
        </w:rPr>
        <w:t>Effective Leadership</w:t>
      </w:r>
    </w:p>
    <w:p w14:paraId="5327D1B6" w14:textId="442EE60B" w:rsidR="001B7FE2" w:rsidRPr="00766A63" w:rsidRDefault="001B7FE2" w:rsidP="00C537B0">
      <w:pPr>
        <w:pStyle w:val="WPBullet"/>
        <w:numPr>
          <w:ilvl w:val="0"/>
          <w:numId w:val="19"/>
        </w:numPr>
        <w:rPr>
          <w:lang w:bidi="en-US"/>
        </w:rPr>
      </w:pPr>
      <w:r w:rsidRPr="00766A63">
        <w:rPr>
          <w:lang w:bidi="en-US"/>
        </w:rPr>
        <w:t>Working in Partnership</w:t>
      </w:r>
    </w:p>
    <w:p w14:paraId="563C1A0C" w14:textId="6FD38611" w:rsidR="001B7FE2" w:rsidRPr="00766A63" w:rsidRDefault="001B7FE2" w:rsidP="00C537B0">
      <w:pPr>
        <w:pStyle w:val="WPBullet"/>
        <w:numPr>
          <w:ilvl w:val="0"/>
          <w:numId w:val="19"/>
        </w:numPr>
        <w:rPr>
          <w:lang w:bidi="en-US"/>
        </w:rPr>
      </w:pPr>
      <w:r w:rsidRPr="00766A63">
        <w:rPr>
          <w:lang w:bidi="en-US"/>
        </w:rPr>
        <w:t>Capabilities</w:t>
      </w:r>
    </w:p>
    <w:p w14:paraId="20CB2314" w14:textId="2344274C" w:rsidR="001B7FE2" w:rsidRDefault="001B7FE2" w:rsidP="00C537B0">
      <w:pPr>
        <w:pStyle w:val="WPBullet"/>
        <w:rPr>
          <w:lang w:bidi="en-US"/>
        </w:rPr>
      </w:pPr>
      <w:r w:rsidRPr="00766A63">
        <w:rPr>
          <w:lang w:bidi="en-US"/>
        </w:rPr>
        <w:t>Risk-Based Approach</w:t>
      </w:r>
    </w:p>
    <w:p w14:paraId="08A4624F" w14:textId="6ECE883B" w:rsidR="00AD0210" w:rsidRPr="00766A63" w:rsidRDefault="00AD0210" w:rsidP="00C537B0">
      <w:pPr>
        <w:pStyle w:val="WPBullet"/>
        <w:rPr>
          <w:lang w:bidi="en-US"/>
        </w:rPr>
      </w:pPr>
      <w:r>
        <w:rPr>
          <w:lang w:bidi="en-US"/>
        </w:rPr>
        <w:t>Sharing Information</w:t>
      </w:r>
    </w:p>
    <w:p w14:paraId="171DE426" w14:textId="044D2DBB" w:rsidR="001B7FE2" w:rsidRDefault="001B7FE2" w:rsidP="00C537B0">
      <w:pPr>
        <w:pStyle w:val="WPBullet"/>
        <w:rPr>
          <w:lang w:bidi="en-US"/>
        </w:rPr>
      </w:pPr>
      <w:r w:rsidRPr="00766A63">
        <w:rPr>
          <w:lang w:bidi="en-US"/>
        </w:rPr>
        <w:t>Monitoring and Enforcement</w:t>
      </w:r>
    </w:p>
    <w:p w14:paraId="1FE020CC" w14:textId="75B8C2C8" w:rsidR="00AD0210" w:rsidRPr="00766A63" w:rsidRDefault="00AD0210" w:rsidP="00C537B0">
      <w:pPr>
        <w:pStyle w:val="WPBullet"/>
        <w:rPr>
          <w:lang w:bidi="en-US"/>
        </w:rPr>
      </w:pPr>
      <w:r>
        <w:rPr>
          <w:lang w:bidi="en-US"/>
        </w:rPr>
        <w:t xml:space="preserve">Central Support and Monitoring </w:t>
      </w:r>
    </w:p>
    <w:p w14:paraId="5A487628" w14:textId="7C11F53D" w:rsidR="001B7FE2" w:rsidRPr="00766A63" w:rsidRDefault="001B7FE2" w:rsidP="00C537B0">
      <w:pPr>
        <w:pStyle w:val="WPBullet"/>
        <w:rPr>
          <w:lang w:bidi="en-US"/>
        </w:rPr>
      </w:pPr>
      <w:r w:rsidRPr="00766A63">
        <w:rPr>
          <w:lang w:bidi="en-US"/>
        </w:rPr>
        <w:t>Inspection Regime in Individual Sectors</w:t>
      </w:r>
    </w:p>
    <w:p w14:paraId="227A75DA" w14:textId="77777777" w:rsidR="00C537B0" w:rsidRDefault="001B7FE2" w:rsidP="00C537B0">
      <w:pPr>
        <w:pStyle w:val="WPBullet"/>
        <w:rPr>
          <w:lang w:bidi="en-US"/>
        </w:rPr>
      </w:pPr>
      <w:r w:rsidRPr="00766A63">
        <w:rPr>
          <w:lang w:bidi="en-US"/>
        </w:rPr>
        <w:t>Sector-Specific Guidance</w:t>
      </w:r>
    </w:p>
    <w:p w14:paraId="3B5D9D01" w14:textId="76A7E7F4" w:rsidR="001B7FE2" w:rsidRPr="00766A63" w:rsidRDefault="001B7FE2" w:rsidP="00C537B0">
      <w:pPr>
        <w:pStyle w:val="WPBullet"/>
        <w:rPr>
          <w:lang w:bidi="en-US"/>
        </w:rPr>
      </w:pPr>
      <w:r w:rsidRPr="00766A63">
        <w:rPr>
          <w:lang w:bidi="en-US"/>
        </w:rPr>
        <w:t>Channel</w:t>
      </w:r>
    </w:p>
    <w:p w14:paraId="1E9EAC75" w14:textId="526C399B" w:rsidR="001B7FE2" w:rsidRPr="00766A63" w:rsidRDefault="001B7FE2" w:rsidP="00C537B0">
      <w:pPr>
        <w:pStyle w:val="WPBullet"/>
        <w:numPr>
          <w:ilvl w:val="0"/>
          <w:numId w:val="16"/>
        </w:numPr>
        <w:ind w:left="720"/>
        <w:rPr>
          <w:lang w:bidi="en-US"/>
        </w:rPr>
      </w:pPr>
      <w:r w:rsidRPr="00766A63">
        <w:rPr>
          <w:lang w:bidi="en-US"/>
        </w:rPr>
        <w:t>What is it?</w:t>
      </w:r>
    </w:p>
    <w:p w14:paraId="1CEAD00B" w14:textId="60E1C0F1" w:rsidR="001B7FE2" w:rsidRPr="00766A63" w:rsidRDefault="001B7FE2" w:rsidP="00C537B0">
      <w:pPr>
        <w:pStyle w:val="WPBullet"/>
        <w:numPr>
          <w:ilvl w:val="0"/>
          <w:numId w:val="16"/>
        </w:numPr>
        <w:ind w:left="720"/>
        <w:rPr>
          <w:lang w:bidi="en-US"/>
        </w:rPr>
      </w:pPr>
      <w:r w:rsidRPr="00766A63">
        <w:rPr>
          <w:lang w:bidi="en-US"/>
        </w:rPr>
        <w:t>Who does it work with?</w:t>
      </w:r>
    </w:p>
    <w:p w14:paraId="4FB3D356" w14:textId="2D161FD9" w:rsidR="001B7FE2" w:rsidRPr="00766A63" w:rsidRDefault="001B7FE2" w:rsidP="00C537B0">
      <w:pPr>
        <w:pStyle w:val="WPBullet"/>
        <w:numPr>
          <w:ilvl w:val="0"/>
          <w:numId w:val="16"/>
        </w:numPr>
        <w:ind w:left="720"/>
        <w:rPr>
          <w:lang w:bidi="en-US"/>
        </w:rPr>
      </w:pPr>
      <w:r w:rsidRPr="00766A63">
        <w:rPr>
          <w:lang w:bidi="en-US"/>
        </w:rPr>
        <w:t>The Channel Panel</w:t>
      </w:r>
    </w:p>
    <w:p w14:paraId="44D0898B" w14:textId="0C3C0692" w:rsidR="001B7FE2" w:rsidRPr="00766A63" w:rsidRDefault="001B7FE2" w:rsidP="00C537B0">
      <w:pPr>
        <w:pStyle w:val="WPBullet"/>
        <w:numPr>
          <w:ilvl w:val="0"/>
          <w:numId w:val="18"/>
        </w:numPr>
        <w:ind w:left="720"/>
        <w:rPr>
          <w:lang w:bidi="en-US"/>
        </w:rPr>
      </w:pPr>
      <w:r w:rsidRPr="00766A63">
        <w:rPr>
          <w:lang w:bidi="en-US"/>
        </w:rPr>
        <w:t xml:space="preserve">Raising a </w:t>
      </w:r>
      <w:r>
        <w:rPr>
          <w:lang w:bidi="en-US"/>
        </w:rPr>
        <w:t>C</w:t>
      </w:r>
      <w:r w:rsidRPr="00766A63">
        <w:rPr>
          <w:lang w:bidi="en-US"/>
        </w:rPr>
        <w:t>oncern</w:t>
      </w:r>
    </w:p>
    <w:p w14:paraId="6CE0DEDF" w14:textId="3815664E" w:rsidR="00B7150E" w:rsidRPr="00C537B0" w:rsidRDefault="00B7150E" w:rsidP="00C537B0">
      <w:pPr>
        <w:pStyle w:val="WPBullet"/>
        <w:rPr>
          <w:b/>
          <w:bCs/>
          <w:lang w:bidi="en-US"/>
        </w:rPr>
      </w:pPr>
      <w:r w:rsidRPr="00C537B0">
        <w:rPr>
          <w:b/>
          <w:bCs/>
          <w:lang w:bidi="en-US"/>
        </w:rPr>
        <w:t>Related Policies</w:t>
      </w:r>
    </w:p>
    <w:p w14:paraId="4144DE55" w14:textId="58F2910D" w:rsidR="00B7150E" w:rsidRPr="00C537B0" w:rsidRDefault="00B7150E" w:rsidP="00C537B0">
      <w:pPr>
        <w:pStyle w:val="WPBullet"/>
        <w:rPr>
          <w:b/>
          <w:bCs/>
          <w:lang w:bidi="en-US"/>
        </w:rPr>
      </w:pPr>
      <w:r w:rsidRPr="00C537B0">
        <w:rPr>
          <w:b/>
          <w:bCs/>
          <w:lang w:bidi="en-US"/>
        </w:rPr>
        <w:t>Related Guidance</w:t>
      </w:r>
    </w:p>
    <w:p w14:paraId="6CB379EF" w14:textId="07C3944A" w:rsidR="0053099B" w:rsidRPr="00C537B0" w:rsidRDefault="0053099B" w:rsidP="00C537B0">
      <w:pPr>
        <w:pStyle w:val="WPBullet"/>
        <w:rPr>
          <w:b/>
          <w:bCs/>
          <w:lang w:bidi="en-US"/>
        </w:rPr>
      </w:pPr>
      <w:r w:rsidRPr="00C537B0">
        <w:rPr>
          <w:b/>
          <w:bCs/>
          <w:lang w:bidi="en-US"/>
        </w:rPr>
        <w:t>Training Statement</w:t>
      </w:r>
    </w:p>
    <w:p w14:paraId="467941B7" w14:textId="77777777" w:rsidR="00C537B0" w:rsidRDefault="00B7150E" w:rsidP="00C537B0">
      <w:pPr>
        <w:pStyle w:val="WPHeading"/>
      </w:pPr>
      <w:bookmarkStart w:id="1" w:name="_Hlk527628763"/>
      <w:r>
        <w:t>Policy Statement</w:t>
      </w:r>
      <w:bookmarkEnd w:id="1"/>
    </w:p>
    <w:p w14:paraId="6A4550E7" w14:textId="58B41ADC" w:rsidR="008C52B5" w:rsidRPr="00766A63" w:rsidRDefault="008C52B5" w:rsidP="00C537B0">
      <w:pPr>
        <w:pStyle w:val="WPParagraph"/>
        <w:rPr>
          <w:rFonts w:eastAsia="Calibri"/>
        </w:rPr>
      </w:pPr>
      <w:r w:rsidRPr="00C537B0">
        <w:rPr>
          <w:rFonts w:eastAsia="Calibri"/>
        </w:rPr>
        <w:t>The Counter-Terrorism and Security Act 2015 became law in February 2015. It</w:t>
      </w:r>
      <w:r w:rsidRPr="00766A63">
        <w:rPr>
          <w:rFonts w:eastAsia="Calibri"/>
        </w:rPr>
        <w:t xml:space="preserve"> introduced a raft of measures, some of which are still being debated in </w:t>
      </w:r>
      <w:r w:rsidR="00C537B0">
        <w:rPr>
          <w:rFonts w:eastAsia="Calibri"/>
        </w:rPr>
        <w:t>p</w:t>
      </w:r>
      <w:r w:rsidRPr="00766A63">
        <w:rPr>
          <w:rFonts w:eastAsia="Calibri"/>
        </w:rPr>
        <w:t xml:space="preserve">arliament. The terrorism threat to the UK is considerable, and the government has acted to ensure that the intelligence agencies have the powers they need to keep us safe; it has issued statutory guidance to all relevant specified authorities. </w:t>
      </w:r>
    </w:p>
    <w:p w14:paraId="003DAB21" w14:textId="77777777" w:rsidR="008C52B5" w:rsidRPr="00766A63" w:rsidRDefault="008C52B5" w:rsidP="00AD0210">
      <w:pPr>
        <w:pStyle w:val="WPHeading2"/>
      </w:pPr>
      <w:r w:rsidRPr="00766A63">
        <w:t>Schedule 6 List</w:t>
      </w:r>
    </w:p>
    <w:p w14:paraId="58DAB21B" w14:textId="7C1362F0" w:rsidR="008C52B5" w:rsidRPr="00766A63" w:rsidRDefault="008C52B5" w:rsidP="00C537B0">
      <w:pPr>
        <w:pStyle w:val="WPParagraph"/>
        <w:rPr>
          <w:rFonts w:eastAsia="Calibri"/>
        </w:rPr>
      </w:pPr>
      <w:r w:rsidRPr="00766A63">
        <w:rPr>
          <w:rFonts w:eastAsia="Calibri"/>
        </w:rPr>
        <w:t>This list, which is regularly reviewed, includes all local authorities</w:t>
      </w:r>
      <w:r w:rsidR="00C537B0">
        <w:rPr>
          <w:rFonts w:eastAsia="Calibri"/>
        </w:rPr>
        <w:t xml:space="preserve"> (LAs)</w:t>
      </w:r>
      <w:r w:rsidRPr="00766A63">
        <w:rPr>
          <w:rFonts w:eastAsia="Calibri"/>
        </w:rPr>
        <w:t>; anyone on the list is known as a ‘specified authority’. It also includes prison, health and social care, education, and police personnel at an identified level, for instance</w:t>
      </w:r>
      <w:r w:rsidR="00A6198F">
        <w:rPr>
          <w:rFonts w:eastAsia="Calibri"/>
        </w:rPr>
        <w:t>,</w:t>
      </w:r>
      <w:r w:rsidRPr="00766A63">
        <w:rPr>
          <w:rFonts w:eastAsia="Calibri"/>
        </w:rPr>
        <w:t xml:space="preserve"> a chief officer of police. The Act creates a general duty of ‘due regard’ on all ‘specified authorities’. </w:t>
      </w:r>
    </w:p>
    <w:p w14:paraId="58EF9A96" w14:textId="67FFB172" w:rsidR="008C52B5" w:rsidRPr="00766A63" w:rsidRDefault="00C537B0" w:rsidP="00C537B0">
      <w:pPr>
        <w:pStyle w:val="WPParagraph"/>
        <w:rPr>
          <w:rFonts w:ascii="Calibri" w:eastAsia="Calibri" w:hAnsi="Calibri" w:cs="Times New Roman"/>
        </w:rPr>
      </w:pPr>
      <w:r>
        <w:rPr>
          <w:rFonts w:eastAsia="Calibri"/>
        </w:rPr>
        <w:lastRenderedPageBreak/>
        <w:t>LAs</w:t>
      </w:r>
      <w:r w:rsidR="008C52B5" w:rsidRPr="00766A63">
        <w:rPr>
          <w:rFonts w:eastAsia="Calibri"/>
        </w:rPr>
        <w:t xml:space="preserve"> must have due regard to local circumstances; give appropriate weight </w:t>
      </w:r>
      <w:r w:rsidR="00A6198F">
        <w:rPr>
          <w:rFonts w:eastAsia="Calibri"/>
        </w:rPr>
        <w:t>to</w:t>
      </w:r>
      <w:r w:rsidR="008C52B5" w:rsidRPr="00766A63">
        <w:rPr>
          <w:rFonts w:eastAsia="Calibri"/>
        </w:rPr>
        <w:t xml:space="preserve"> the need to prevent people </w:t>
      </w:r>
      <w:r w:rsidR="00A6198F">
        <w:rPr>
          <w:rFonts w:eastAsia="Calibri"/>
        </w:rPr>
        <w:t xml:space="preserve">from </w:t>
      </w:r>
      <w:r w:rsidR="008C52B5" w:rsidRPr="00766A63">
        <w:rPr>
          <w:rFonts w:eastAsia="Calibri"/>
        </w:rPr>
        <w:t>being drawn into terrorism (see below)</w:t>
      </w:r>
      <w:r w:rsidR="00A6198F">
        <w:rPr>
          <w:rFonts w:eastAsia="Calibri"/>
        </w:rPr>
        <w:t>,</w:t>
      </w:r>
      <w:r w:rsidR="008C52B5" w:rsidRPr="00766A63">
        <w:rPr>
          <w:rFonts w:eastAsia="Calibri"/>
        </w:rPr>
        <w:t xml:space="preserve"> and consider all other factors relevant to how they carry out their usual functions. </w:t>
      </w:r>
    </w:p>
    <w:p w14:paraId="7B0A607A" w14:textId="77777777" w:rsidR="008C52B5" w:rsidRPr="00766A63" w:rsidRDefault="008C52B5" w:rsidP="00C537B0">
      <w:pPr>
        <w:pStyle w:val="WPHeading2"/>
      </w:pPr>
      <w:r w:rsidRPr="00766A63">
        <w:t>The Prevent Strategy</w:t>
      </w:r>
    </w:p>
    <w:p w14:paraId="7F3BE286" w14:textId="709D7F34" w:rsidR="008C52B5" w:rsidRPr="00766A63" w:rsidRDefault="008C52B5" w:rsidP="00C537B0">
      <w:pPr>
        <w:pStyle w:val="WPParagraph"/>
        <w:rPr>
          <w:rFonts w:eastAsia="Calibri"/>
        </w:rPr>
      </w:pPr>
      <w:r w:rsidRPr="00766A63">
        <w:rPr>
          <w:rFonts w:eastAsia="Calibri"/>
        </w:rPr>
        <w:t xml:space="preserve">This includes clarification of the Prevent </w:t>
      </w:r>
      <w:r w:rsidR="00C537B0">
        <w:rPr>
          <w:rFonts w:eastAsia="Calibri"/>
        </w:rPr>
        <w:t>S</w:t>
      </w:r>
      <w:r w:rsidRPr="00766A63">
        <w:rPr>
          <w:rFonts w:eastAsia="Calibri"/>
        </w:rPr>
        <w:t>trategy first identified in 2011, which is a part of CONTEST</w:t>
      </w:r>
      <w:r w:rsidR="00C537B0">
        <w:rPr>
          <w:rFonts w:eastAsia="Calibri"/>
        </w:rPr>
        <w:t>,</w:t>
      </w:r>
      <w:r w:rsidRPr="00766A63">
        <w:rPr>
          <w:rFonts w:eastAsia="Calibri"/>
        </w:rPr>
        <w:t xml:space="preserve"> the government’s counter-terrorism strategy. CONTEST is made up of four workstreams, each comprising a set of objectives: </w:t>
      </w:r>
    </w:p>
    <w:p w14:paraId="376E39E6" w14:textId="6525EFD0" w:rsidR="008C52B5" w:rsidRPr="00766A63" w:rsidRDefault="008C52B5" w:rsidP="00C537B0">
      <w:pPr>
        <w:pStyle w:val="WPBullet"/>
        <w:rPr>
          <w:rFonts w:ascii="Calibri" w:hAnsi="Calibri" w:cs="Times New Roman"/>
        </w:rPr>
      </w:pPr>
      <w:r w:rsidRPr="00766A63">
        <w:rPr>
          <w:b/>
        </w:rPr>
        <w:t>Pursue:</w:t>
      </w:r>
      <w:r w:rsidRPr="00766A63">
        <w:t xml:space="preserve"> to stop terrorist attacks</w:t>
      </w:r>
      <w:r w:rsidR="00C537B0">
        <w:t>,</w:t>
      </w:r>
    </w:p>
    <w:p w14:paraId="1AAFF2EA" w14:textId="57473E80" w:rsidR="008C52B5" w:rsidRPr="00766A63" w:rsidRDefault="008C52B5" w:rsidP="00C537B0">
      <w:pPr>
        <w:pStyle w:val="WPBullet"/>
        <w:rPr>
          <w:rFonts w:ascii="Calibri" w:hAnsi="Calibri" w:cs="Times New Roman"/>
        </w:rPr>
      </w:pPr>
      <w:r w:rsidRPr="00766A63">
        <w:rPr>
          <w:b/>
        </w:rPr>
        <w:t>Prevent:</w:t>
      </w:r>
      <w:r w:rsidRPr="00766A63">
        <w:t xml:space="preserve"> to stop people </w:t>
      </w:r>
      <w:r w:rsidR="00A6198F">
        <w:t xml:space="preserve">from </w:t>
      </w:r>
      <w:r w:rsidRPr="00766A63">
        <w:t>becoming terrorists or supporting terrorism</w:t>
      </w:r>
      <w:r w:rsidR="00C537B0">
        <w:t>,</w:t>
      </w:r>
    </w:p>
    <w:p w14:paraId="6B06C3FC" w14:textId="45A578F2" w:rsidR="008C52B5" w:rsidRPr="00766A63" w:rsidRDefault="008C52B5" w:rsidP="00C537B0">
      <w:pPr>
        <w:pStyle w:val="WPBullet"/>
        <w:rPr>
          <w:rFonts w:ascii="Calibri" w:hAnsi="Calibri" w:cs="Times New Roman"/>
        </w:rPr>
      </w:pPr>
      <w:r w:rsidRPr="00766A63">
        <w:rPr>
          <w:b/>
        </w:rPr>
        <w:t>Protect:</w:t>
      </w:r>
      <w:r w:rsidRPr="00766A63">
        <w:t xml:space="preserve"> to strengthen our protection against a terrorist attack</w:t>
      </w:r>
      <w:r w:rsidR="00C537B0">
        <w:t>,</w:t>
      </w:r>
    </w:p>
    <w:p w14:paraId="7D999799" w14:textId="63359767" w:rsidR="008C52B5" w:rsidRPr="00766A63" w:rsidRDefault="008C52B5" w:rsidP="00C537B0">
      <w:pPr>
        <w:pStyle w:val="WPBullet"/>
        <w:rPr>
          <w:rFonts w:ascii="Calibri" w:hAnsi="Calibri" w:cs="Times New Roman"/>
        </w:rPr>
      </w:pPr>
      <w:r w:rsidRPr="00766A63">
        <w:rPr>
          <w:b/>
        </w:rPr>
        <w:t>Prepare:</w:t>
      </w:r>
      <w:r w:rsidRPr="00766A63">
        <w:t xml:space="preserve"> to mitigate the impact of </w:t>
      </w:r>
      <w:r w:rsidR="00A6198F">
        <w:t xml:space="preserve">the </w:t>
      </w:r>
      <w:r w:rsidRPr="00766A63">
        <w:t xml:space="preserve">terrorist attack. </w:t>
      </w:r>
    </w:p>
    <w:p w14:paraId="0859CEEF" w14:textId="4A2896F4" w:rsidR="008C52B5" w:rsidRPr="00766A63" w:rsidRDefault="008C52B5" w:rsidP="00C537B0">
      <w:pPr>
        <w:pStyle w:val="WPParagraph"/>
        <w:rPr>
          <w:rFonts w:eastAsia="Calibri"/>
        </w:rPr>
      </w:pPr>
      <w:r w:rsidRPr="00766A63">
        <w:rPr>
          <w:rFonts w:eastAsia="Calibri"/>
        </w:rPr>
        <w:t xml:space="preserve">This policy is intended to make staff aware of their role and responsibilities </w:t>
      </w:r>
      <w:r w:rsidR="00A6198F">
        <w:rPr>
          <w:rFonts w:eastAsia="Calibri"/>
        </w:rPr>
        <w:t>regarding</w:t>
      </w:r>
      <w:r w:rsidRPr="00766A63">
        <w:rPr>
          <w:rFonts w:eastAsia="Calibri"/>
        </w:rPr>
        <w:t xml:space="preserve"> the Prevent </w:t>
      </w:r>
      <w:r w:rsidR="00806E70">
        <w:rPr>
          <w:rFonts w:eastAsia="Calibri"/>
        </w:rPr>
        <w:t>Strategy</w:t>
      </w:r>
      <w:r w:rsidRPr="00766A63">
        <w:rPr>
          <w:rFonts w:eastAsia="Calibri"/>
        </w:rPr>
        <w:t xml:space="preserve"> work, as required by the legislation. </w:t>
      </w:r>
    </w:p>
    <w:p w14:paraId="78644E29" w14:textId="77777777" w:rsidR="008C52B5" w:rsidRPr="00766A63" w:rsidRDefault="008C52B5" w:rsidP="00C537B0">
      <w:pPr>
        <w:pStyle w:val="WPHeading2"/>
      </w:pPr>
      <w:r w:rsidRPr="00766A63">
        <w:t>Prevent Strategy Objectives</w:t>
      </w:r>
    </w:p>
    <w:p w14:paraId="3B176299" w14:textId="252911ED" w:rsidR="008C52B5" w:rsidRPr="00766A63" w:rsidRDefault="008C52B5" w:rsidP="00C537B0">
      <w:pPr>
        <w:pStyle w:val="WPParagraph"/>
        <w:rPr>
          <w:rFonts w:eastAsia="Calibri"/>
          <w:b/>
        </w:rPr>
      </w:pPr>
      <w:r w:rsidRPr="00766A63">
        <w:rPr>
          <w:rFonts w:eastAsia="Calibri"/>
        </w:rPr>
        <w:t xml:space="preserve">The Prevent </w:t>
      </w:r>
      <w:r w:rsidR="00C537B0">
        <w:rPr>
          <w:rFonts w:eastAsia="Calibri"/>
        </w:rPr>
        <w:t>S</w:t>
      </w:r>
      <w:r w:rsidRPr="00766A63">
        <w:rPr>
          <w:rFonts w:eastAsia="Calibri"/>
        </w:rPr>
        <w:t>trategy aims to perform the following:</w:t>
      </w:r>
      <w:r w:rsidRPr="00766A63">
        <w:rPr>
          <w:rFonts w:eastAsia="Calibri"/>
          <w:b/>
        </w:rPr>
        <w:t xml:space="preserve"> </w:t>
      </w:r>
    </w:p>
    <w:p w14:paraId="0B2E4A0C" w14:textId="56BAF21A" w:rsidR="008C52B5" w:rsidRPr="00766A63" w:rsidRDefault="008C52B5" w:rsidP="00C537B0">
      <w:pPr>
        <w:pStyle w:val="WPBullet"/>
        <w:rPr>
          <w:rFonts w:ascii="Calibri" w:hAnsi="Calibri" w:cs="Times New Roman"/>
        </w:rPr>
      </w:pPr>
      <w:r w:rsidRPr="00766A63">
        <w:t>Respond to the ideological challenge of terrorism and the threat posed by those who promote it</w:t>
      </w:r>
      <w:r w:rsidR="00C537B0">
        <w:t>.</w:t>
      </w:r>
    </w:p>
    <w:p w14:paraId="09DB6642" w14:textId="5CE6A96F" w:rsidR="008C52B5" w:rsidRPr="00766A63" w:rsidRDefault="008C52B5" w:rsidP="00C537B0">
      <w:pPr>
        <w:pStyle w:val="WPBullet"/>
        <w:rPr>
          <w:rFonts w:ascii="Calibri" w:hAnsi="Calibri" w:cs="Times New Roman"/>
        </w:rPr>
      </w:pPr>
      <w:r w:rsidRPr="00766A63">
        <w:t>Prevent people from being drawn into terrorism and ensure they are given the appropriate advice and support</w:t>
      </w:r>
      <w:r w:rsidR="00C537B0">
        <w:t>.</w:t>
      </w:r>
    </w:p>
    <w:p w14:paraId="40EEB8C9" w14:textId="77777777" w:rsidR="008C52B5" w:rsidRPr="00766A63" w:rsidRDefault="008C52B5" w:rsidP="00C537B0">
      <w:pPr>
        <w:pStyle w:val="WPBullet"/>
        <w:rPr>
          <w:rFonts w:ascii="Calibri" w:hAnsi="Calibri" w:cs="Times New Roman"/>
        </w:rPr>
      </w:pPr>
      <w:r w:rsidRPr="00766A63">
        <w:t xml:space="preserve">Work with sectors and institutions where there are risks of radicalisation that we need to address. </w:t>
      </w:r>
    </w:p>
    <w:p w14:paraId="2133C373" w14:textId="28EE2FF9" w:rsidR="008C52B5" w:rsidRPr="00766A63" w:rsidRDefault="008C52B5" w:rsidP="00C537B0">
      <w:pPr>
        <w:pStyle w:val="WPParagraph"/>
        <w:rPr>
          <w:rFonts w:eastAsia="Calibri"/>
        </w:rPr>
      </w:pPr>
      <w:r w:rsidRPr="00766A63">
        <w:rPr>
          <w:rFonts w:eastAsia="Calibri"/>
        </w:rPr>
        <w:t xml:space="preserve">Since the 2011 Prevent </w:t>
      </w:r>
      <w:r w:rsidR="00C537B0">
        <w:rPr>
          <w:rFonts w:eastAsia="Calibri"/>
        </w:rPr>
        <w:t>S</w:t>
      </w:r>
      <w:r w:rsidRPr="00766A63">
        <w:rPr>
          <w:rFonts w:eastAsia="Calibri"/>
        </w:rPr>
        <w:t xml:space="preserve">trategy, the government has defined extremism as “a vocal or active opposition to fundamental British values, including democracy, the rule of law, individual liberty and mutual respect and tolerance of different faiths and beliefs”; also included in their definition are “any calls for the death of members of the armed forces”. </w:t>
      </w:r>
    </w:p>
    <w:p w14:paraId="59DDD0BE" w14:textId="18F03F3B" w:rsidR="008C52B5" w:rsidRPr="00766A63" w:rsidRDefault="008C52B5" w:rsidP="00C537B0">
      <w:pPr>
        <w:pStyle w:val="WPParagraph"/>
        <w:rPr>
          <w:rFonts w:eastAsia="Calibri"/>
        </w:rPr>
      </w:pPr>
      <w:r w:rsidRPr="00766A63">
        <w:rPr>
          <w:rFonts w:eastAsia="Calibri"/>
        </w:rPr>
        <w:t xml:space="preserve">The Prevent </w:t>
      </w:r>
      <w:r w:rsidR="00C537B0">
        <w:rPr>
          <w:rFonts w:eastAsia="Calibri"/>
        </w:rPr>
        <w:t>S</w:t>
      </w:r>
      <w:r w:rsidRPr="00766A63">
        <w:rPr>
          <w:rFonts w:eastAsia="Calibri"/>
        </w:rPr>
        <w:t xml:space="preserve">trategy was explicitly changed in 2011 to counter all forms of terrorism, including non-violent extremism, that create an atmosphere conducive to terrorism or that popularise views </w:t>
      </w:r>
      <w:r w:rsidR="00A6198F">
        <w:rPr>
          <w:rFonts w:eastAsia="Calibri"/>
        </w:rPr>
        <w:t>that</w:t>
      </w:r>
      <w:r w:rsidRPr="00766A63">
        <w:rPr>
          <w:rFonts w:eastAsia="Calibri"/>
        </w:rPr>
        <w:t xml:space="preserve"> can then be exploited by terrorists. The changes also made clear that preventing people </w:t>
      </w:r>
      <w:r w:rsidR="00A6198F">
        <w:rPr>
          <w:rFonts w:eastAsia="Calibri"/>
        </w:rPr>
        <w:t xml:space="preserve">from </w:t>
      </w:r>
      <w:r w:rsidRPr="00766A63">
        <w:rPr>
          <w:rFonts w:eastAsia="Calibri"/>
        </w:rPr>
        <w:t xml:space="preserve">becoming terrorists or supporting terrorism requires challenging extremist ideas where they are used to legitimise terrorism and are shared by terrorist groups. The strategy also means intervening to stop people moving from extremist (albeit legal) groups into terrorist-related activity. </w:t>
      </w:r>
    </w:p>
    <w:p w14:paraId="357BA413" w14:textId="53B67181" w:rsidR="00ED7DA0" w:rsidRPr="00766A63" w:rsidRDefault="008C52B5" w:rsidP="00C537B0">
      <w:pPr>
        <w:pStyle w:val="WPParagraph"/>
        <w:rPr>
          <w:rFonts w:eastAsia="Calibri"/>
        </w:rPr>
      </w:pPr>
      <w:r w:rsidRPr="00766A63">
        <w:rPr>
          <w:rFonts w:eastAsia="Calibri"/>
        </w:rPr>
        <w:t xml:space="preserve">Prevent </w:t>
      </w:r>
      <w:r w:rsidR="00C537B0">
        <w:rPr>
          <w:rFonts w:eastAsia="Calibri"/>
        </w:rPr>
        <w:t xml:space="preserve">Strategy </w:t>
      </w:r>
      <w:r w:rsidRPr="00766A63">
        <w:rPr>
          <w:rFonts w:eastAsia="Calibri"/>
        </w:rPr>
        <w:t>work is intended to deal with all kinds of terrorist threats to the UK. Currently, the most significant threats are from terrorists’ function</w:t>
      </w:r>
      <w:r w:rsidR="00C537B0">
        <w:rPr>
          <w:rFonts w:eastAsia="Calibri"/>
        </w:rPr>
        <w:t>ing</w:t>
      </w:r>
      <w:r w:rsidRPr="00766A63">
        <w:rPr>
          <w:rFonts w:eastAsia="Calibri"/>
        </w:rPr>
        <w:t xml:space="preserve"> in Syria and Iraq, including Al Qa’ida associate groups, ISIS (also Daesh)</w:t>
      </w:r>
      <w:r w:rsidR="00806E70">
        <w:rPr>
          <w:rFonts w:eastAsia="Calibri"/>
        </w:rPr>
        <w:t xml:space="preserve">; </w:t>
      </w:r>
      <w:r w:rsidRPr="00766A63">
        <w:rPr>
          <w:rFonts w:eastAsia="Calibri"/>
        </w:rPr>
        <w:t xml:space="preserve">however, right-wing extremists also pose a threat to our safety and security. In fulfilling the Prevent </w:t>
      </w:r>
      <w:r w:rsidR="00806E70">
        <w:rPr>
          <w:rFonts w:eastAsia="Calibri"/>
        </w:rPr>
        <w:t xml:space="preserve">Strategy </w:t>
      </w:r>
      <w:r w:rsidRPr="00766A63">
        <w:rPr>
          <w:rFonts w:eastAsia="Calibri"/>
        </w:rPr>
        <w:t xml:space="preserve">duty, all specified authorities are expected to participate fully in work to prevent people </w:t>
      </w:r>
      <w:r w:rsidR="00A6198F">
        <w:rPr>
          <w:rFonts w:eastAsia="Calibri"/>
        </w:rPr>
        <w:t xml:space="preserve">from </w:t>
      </w:r>
      <w:r w:rsidRPr="00766A63">
        <w:rPr>
          <w:rFonts w:eastAsia="Calibri"/>
        </w:rPr>
        <w:t xml:space="preserve">being drawn into terrorism. Specified authorities in Schedule 6 of the Act are those judged to have a role in protecting vulnerable people and/or our national interest and security. </w:t>
      </w:r>
    </w:p>
    <w:p w14:paraId="7639D9C8" w14:textId="5975FB5B" w:rsidR="000E1AAF" w:rsidRDefault="00C87E13" w:rsidP="00C537B0">
      <w:pPr>
        <w:pStyle w:val="WPHeading"/>
      </w:pPr>
      <w:r w:rsidRPr="004263DA">
        <w:lastRenderedPageBreak/>
        <w:t>T</w:t>
      </w:r>
      <w:r w:rsidR="00AD5C8F" w:rsidRPr="004263DA">
        <w:t>he Policy</w:t>
      </w:r>
    </w:p>
    <w:p w14:paraId="17AA96C5" w14:textId="77777777" w:rsidR="008C52B5" w:rsidRPr="00766A63" w:rsidRDefault="008C52B5" w:rsidP="001875CB">
      <w:pPr>
        <w:pStyle w:val="WPHeading2"/>
        <w:spacing w:before="0"/>
      </w:pPr>
      <w:r w:rsidRPr="00766A63">
        <w:t>The Statutory Guidance</w:t>
      </w:r>
    </w:p>
    <w:p w14:paraId="0666C788" w14:textId="28B90A96" w:rsidR="008C52B5" w:rsidRPr="00766A63" w:rsidRDefault="008C52B5" w:rsidP="00C537B0">
      <w:pPr>
        <w:pStyle w:val="WPParagraph"/>
        <w:rPr>
          <w:rFonts w:eastAsia="Calibri"/>
        </w:rPr>
      </w:pPr>
      <w:r w:rsidRPr="00766A63">
        <w:rPr>
          <w:rFonts w:eastAsia="Calibri"/>
        </w:rPr>
        <w:t xml:space="preserve">Three themes run through the risk-based approach to the Prevent </w:t>
      </w:r>
      <w:r w:rsidR="00C537B0">
        <w:rPr>
          <w:rFonts w:eastAsia="Calibri"/>
        </w:rPr>
        <w:t>Strategy</w:t>
      </w:r>
      <w:r w:rsidRPr="00766A63">
        <w:rPr>
          <w:rFonts w:eastAsia="Calibri"/>
        </w:rPr>
        <w:t xml:space="preserve"> (i.e., an awareness of the risk of radicalisation; see below):</w:t>
      </w:r>
    </w:p>
    <w:p w14:paraId="30016D38" w14:textId="77777777" w:rsidR="008C52B5" w:rsidRPr="00766A63" w:rsidRDefault="008C52B5" w:rsidP="00C537B0">
      <w:pPr>
        <w:pStyle w:val="WPHeading3"/>
      </w:pPr>
      <w:r w:rsidRPr="00766A63">
        <w:t xml:space="preserve">Effective Leadership </w:t>
      </w:r>
    </w:p>
    <w:p w14:paraId="41C7DBC1" w14:textId="2E83D872" w:rsidR="008C52B5" w:rsidRPr="00766A63" w:rsidRDefault="008C52B5" w:rsidP="00C537B0">
      <w:pPr>
        <w:pStyle w:val="WPParagraph"/>
        <w:rPr>
          <w:rFonts w:eastAsia="Calibri"/>
        </w:rPr>
      </w:pPr>
      <w:r w:rsidRPr="00766A63">
        <w:rPr>
          <w:rFonts w:eastAsia="Calibri"/>
        </w:rPr>
        <w:t>For all specified authorities, the expectation is that those in leadership positions will</w:t>
      </w:r>
      <w:r w:rsidR="00C537B0">
        <w:rPr>
          <w:rFonts w:eastAsia="Calibri"/>
        </w:rPr>
        <w:t>:</w:t>
      </w:r>
    </w:p>
    <w:p w14:paraId="2B464FDC" w14:textId="54AA4E83" w:rsidR="008C52B5" w:rsidRPr="00766A63" w:rsidRDefault="008C52B5" w:rsidP="00C537B0">
      <w:pPr>
        <w:pStyle w:val="WPBullet"/>
      </w:pPr>
      <w:r w:rsidRPr="00766A63">
        <w:t>Establish</w:t>
      </w:r>
      <w:r w:rsidR="00AD0210">
        <w:t>/</w:t>
      </w:r>
      <w:r w:rsidRPr="00766A63">
        <w:t xml:space="preserve"> use existing mechanisms for understanding the risks of radicalisation</w:t>
      </w:r>
      <w:r w:rsidR="00C537B0">
        <w:t>.</w:t>
      </w:r>
      <w:r w:rsidRPr="00766A63">
        <w:t xml:space="preserve"> </w:t>
      </w:r>
    </w:p>
    <w:p w14:paraId="43726F1B" w14:textId="68C0AD8D" w:rsidR="008C52B5" w:rsidRPr="00766A63" w:rsidRDefault="008C52B5" w:rsidP="00C537B0">
      <w:pPr>
        <w:pStyle w:val="WPBullet"/>
      </w:pPr>
      <w:r w:rsidRPr="00766A63">
        <w:t>Ensure staff understand the risk and build the capabilities to deal with it</w:t>
      </w:r>
      <w:r w:rsidR="00C537B0">
        <w:t>.</w:t>
      </w:r>
    </w:p>
    <w:p w14:paraId="181D43E4" w14:textId="42CEFA33" w:rsidR="008C52B5" w:rsidRPr="00766A63" w:rsidRDefault="008C52B5" w:rsidP="00C537B0">
      <w:pPr>
        <w:pStyle w:val="WPBullet"/>
      </w:pPr>
      <w:r w:rsidRPr="00766A63">
        <w:t>Communicate and promote the importance of the duty</w:t>
      </w:r>
      <w:r w:rsidR="00C537B0">
        <w:t>.</w:t>
      </w:r>
      <w:r w:rsidRPr="00766A63">
        <w:t xml:space="preserve"> </w:t>
      </w:r>
    </w:p>
    <w:p w14:paraId="35C23694" w14:textId="77777777" w:rsidR="008C52B5" w:rsidRPr="00766A63" w:rsidRDefault="008C52B5" w:rsidP="00C537B0">
      <w:pPr>
        <w:pStyle w:val="WPBullet"/>
      </w:pPr>
      <w:r w:rsidRPr="00766A63">
        <w:t>Ensure staff implement the duty effectively.</w:t>
      </w:r>
    </w:p>
    <w:p w14:paraId="76B4A0CE" w14:textId="77777777" w:rsidR="008C52B5" w:rsidRPr="00766A63" w:rsidRDefault="008C52B5" w:rsidP="00C537B0">
      <w:pPr>
        <w:pStyle w:val="WPHeading3"/>
      </w:pPr>
      <w:r w:rsidRPr="00766A63">
        <w:t>Working in Partnership</w:t>
      </w:r>
    </w:p>
    <w:p w14:paraId="0A8A0543" w14:textId="1BF556EF" w:rsidR="008C52B5" w:rsidRPr="00766A63" w:rsidRDefault="008C52B5" w:rsidP="00C537B0">
      <w:pPr>
        <w:pStyle w:val="WPParagraph"/>
        <w:rPr>
          <w:rFonts w:eastAsia="Calibri"/>
        </w:rPr>
      </w:pPr>
      <w:r w:rsidRPr="00766A63">
        <w:rPr>
          <w:rFonts w:eastAsia="Calibri"/>
        </w:rPr>
        <w:t xml:space="preserve">Prevent </w:t>
      </w:r>
      <w:r w:rsidR="00C537B0">
        <w:rPr>
          <w:rFonts w:eastAsia="Calibri"/>
        </w:rPr>
        <w:t xml:space="preserve">Strategy </w:t>
      </w:r>
      <w:r w:rsidRPr="00766A63">
        <w:rPr>
          <w:rFonts w:eastAsia="Calibri"/>
        </w:rPr>
        <w:t xml:space="preserve">work depends on effective partnership. To demonstrate effective compliance with the duty, the specified authorities must demonstrate evidence of productive co-operation, in particular with local Prevent </w:t>
      </w:r>
      <w:r w:rsidR="00C537B0">
        <w:rPr>
          <w:rFonts w:eastAsia="Calibri"/>
        </w:rPr>
        <w:t xml:space="preserve">Strategy </w:t>
      </w:r>
      <w:r w:rsidRPr="00766A63">
        <w:rPr>
          <w:rFonts w:eastAsia="Calibri"/>
        </w:rPr>
        <w:t xml:space="preserve">co-ordinators, the police and </w:t>
      </w:r>
      <w:r w:rsidR="00C537B0">
        <w:rPr>
          <w:rFonts w:eastAsia="Calibri"/>
        </w:rPr>
        <w:t>LAs</w:t>
      </w:r>
      <w:r w:rsidRPr="00766A63">
        <w:rPr>
          <w:rFonts w:eastAsia="Calibri"/>
        </w:rPr>
        <w:t xml:space="preserve">, and co-ordination through existing multi-agency forums, </w:t>
      </w:r>
      <w:r w:rsidR="00C537B0">
        <w:rPr>
          <w:rFonts w:eastAsia="Calibri"/>
        </w:rPr>
        <w:t>e.g.</w:t>
      </w:r>
      <w:r w:rsidRPr="00766A63">
        <w:rPr>
          <w:rFonts w:eastAsia="Calibri"/>
        </w:rPr>
        <w:t xml:space="preserve"> </w:t>
      </w:r>
      <w:r w:rsidR="00C537B0" w:rsidRPr="00766A63">
        <w:rPr>
          <w:rFonts w:eastAsia="Calibri"/>
        </w:rPr>
        <w:t>community safety partnerships regime.</w:t>
      </w:r>
    </w:p>
    <w:p w14:paraId="6BF889B8" w14:textId="77777777" w:rsidR="008C52B5" w:rsidRPr="00766A63" w:rsidRDefault="008C52B5" w:rsidP="00C537B0">
      <w:pPr>
        <w:pStyle w:val="WPHeading3"/>
      </w:pPr>
      <w:r w:rsidRPr="00766A63">
        <w:t>Capabilities</w:t>
      </w:r>
    </w:p>
    <w:p w14:paraId="38C84264" w14:textId="77777777" w:rsidR="008C52B5" w:rsidRPr="00766A63" w:rsidRDefault="008C52B5" w:rsidP="00C537B0">
      <w:pPr>
        <w:pStyle w:val="WPParagraph"/>
        <w:rPr>
          <w:rFonts w:eastAsia="Calibri"/>
        </w:rPr>
      </w:pPr>
      <w:r w:rsidRPr="00766A63">
        <w:rPr>
          <w:rFonts w:eastAsia="Calibri"/>
        </w:rPr>
        <w:t xml:space="preserve">Frontline staff who engage with the public should understand what radicalisation means and why people may be vulnerable to being drawn into terrorism as a consequence of it. They need to be aware of what we mean by the term ‘extremism’ and the relationship between extremism and terrorism. </w:t>
      </w:r>
    </w:p>
    <w:p w14:paraId="75A7DB8E" w14:textId="192D4F1D" w:rsidR="008C52B5" w:rsidRPr="00766A63" w:rsidRDefault="008C52B5" w:rsidP="00C537B0">
      <w:pPr>
        <w:pStyle w:val="WPParagraph"/>
        <w:rPr>
          <w:rFonts w:eastAsia="Calibri"/>
        </w:rPr>
      </w:pPr>
      <w:r w:rsidRPr="00766A63">
        <w:rPr>
          <w:rFonts w:eastAsia="Calibri"/>
        </w:rPr>
        <w:t xml:space="preserve">Staff need to know what measures are available to stop people </w:t>
      </w:r>
      <w:r w:rsidR="00A6198F">
        <w:rPr>
          <w:rFonts w:eastAsia="Calibri"/>
        </w:rPr>
        <w:t xml:space="preserve">from </w:t>
      </w:r>
      <w:r w:rsidRPr="00766A63">
        <w:rPr>
          <w:rFonts w:eastAsia="Calibri"/>
        </w:rPr>
        <w:t xml:space="preserve">becoming drawn into terrorism and how to challenge the extremist ideology that can be associated with it. They need to understand how to obtain support for people who may be being exploited by radicalising influences. </w:t>
      </w:r>
    </w:p>
    <w:p w14:paraId="439EBFA3" w14:textId="77777777" w:rsidR="008C52B5" w:rsidRPr="00766A63" w:rsidRDefault="008C52B5" w:rsidP="00C537B0">
      <w:pPr>
        <w:pStyle w:val="WPParagraph"/>
        <w:rPr>
          <w:rFonts w:eastAsia="Calibri"/>
        </w:rPr>
      </w:pPr>
      <w:r w:rsidRPr="00766A63">
        <w:rPr>
          <w:rFonts w:eastAsia="Calibri"/>
        </w:rPr>
        <w:t xml:space="preserve">All specified authorities subject to the duty will need to ensure they provide appropriate training for staff involved in the implementation of this duty; such training is now widely available. </w:t>
      </w:r>
    </w:p>
    <w:p w14:paraId="3C2A9D2B" w14:textId="77777777" w:rsidR="008C52B5" w:rsidRPr="00766A63" w:rsidRDefault="008C52B5" w:rsidP="00C537B0">
      <w:pPr>
        <w:pStyle w:val="WPHeading2"/>
      </w:pPr>
      <w:r w:rsidRPr="00766A63">
        <w:t xml:space="preserve">Risk-Based Approach </w:t>
      </w:r>
    </w:p>
    <w:p w14:paraId="49DC4300" w14:textId="7A40B890" w:rsidR="008C52B5" w:rsidRPr="00766A63" w:rsidRDefault="008C52B5" w:rsidP="00C537B0">
      <w:pPr>
        <w:pStyle w:val="WPParagraph"/>
        <w:rPr>
          <w:rFonts w:eastAsia="Calibri"/>
        </w:rPr>
      </w:pPr>
      <w:r w:rsidRPr="00766A63">
        <w:rPr>
          <w:rFonts w:eastAsia="Calibri"/>
        </w:rPr>
        <w:t xml:space="preserve">This means, as a starting point, awareness and understanding of the risk of radicalisation in their local area, institution, or body. This risk will vary greatly and can change rapidly, but no local area, institution, or body will be risk-free; the type and scale of activity that will address the risk will vary but all of the specified authorities will need to give “due regard” to it. </w:t>
      </w:r>
      <w:r w:rsidR="00C537B0">
        <w:rPr>
          <w:rFonts w:eastAsia="Calibri"/>
        </w:rPr>
        <w:t>LAs</w:t>
      </w:r>
      <w:r w:rsidRPr="00766A63">
        <w:rPr>
          <w:rFonts w:eastAsia="Calibri"/>
        </w:rPr>
        <w:t xml:space="preserve"> are expected to provide appropriate training to frontline staff, including those whom it contracts for services. </w:t>
      </w:r>
    </w:p>
    <w:p w14:paraId="220342AD" w14:textId="77777777" w:rsidR="008C52B5" w:rsidRPr="00766A63" w:rsidRDefault="008C52B5" w:rsidP="00C537B0">
      <w:pPr>
        <w:pStyle w:val="WPParagraph"/>
        <w:rPr>
          <w:rFonts w:eastAsia="Calibri"/>
        </w:rPr>
      </w:pPr>
      <w:r w:rsidRPr="00766A63">
        <w:rPr>
          <w:rFonts w:eastAsia="Calibri"/>
        </w:rPr>
        <w:t xml:space="preserve">As outlined above, three themes run throughout the sector-specific guidance: leadership, working in partnership, and capabilities. </w:t>
      </w:r>
    </w:p>
    <w:p w14:paraId="72219AFF" w14:textId="77777777" w:rsidR="008C52B5" w:rsidRPr="00766A63" w:rsidRDefault="008C52B5" w:rsidP="00C537B0">
      <w:pPr>
        <w:pStyle w:val="WPHeading2"/>
      </w:pPr>
      <w:r w:rsidRPr="00766A63">
        <w:lastRenderedPageBreak/>
        <w:t>Sharing Information</w:t>
      </w:r>
    </w:p>
    <w:p w14:paraId="0E4412AA" w14:textId="26452AA2" w:rsidR="008C52B5" w:rsidRPr="00766A63" w:rsidRDefault="008C52B5" w:rsidP="00C537B0">
      <w:pPr>
        <w:pStyle w:val="WPParagraph"/>
        <w:rPr>
          <w:rFonts w:eastAsia="Calibri"/>
        </w:rPr>
      </w:pPr>
      <w:r w:rsidRPr="00766A63">
        <w:rPr>
          <w:rFonts w:eastAsia="Calibri"/>
        </w:rPr>
        <w:t xml:space="preserve">In addition to those overarching themes, sharing information is paramount. To ensure the rights of individuals are fully protected, </w:t>
      </w:r>
      <w:r w:rsidR="00A6198F">
        <w:rPr>
          <w:rFonts w:eastAsia="Calibri"/>
        </w:rPr>
        <w:t>agreements must</w:t>
      </w:r>
      <w:r w:rsidRPr="00766A63">
        <w:rPr>
          <w:rFonts w:eastAsia="Calibri"/>
        </w:rPr>
        <w:t xml:space="preserve"> exist at a local level (usually via the </w:t>
      </w:r>
      <w:r w:rsidR="00C537B0">
        <w:rPr>
          <w:rFonts w:eastAsia="Calibri"/>
        </w:rPr>
        <w:t>LA</w:t>
      </w:r>
      <w:r w:rsidRPr="00766A63">
        <w:rPr>
          <w:rFonts w:eastAsia="Calibri"/>
        </w:rPr>
        <w:t xml:space="preserve">). When sharing information in this context, consideration of the following is important: </w:t>
      </w:r>
    </w:p>
    <w:p w14:paraId="648CB821" w14:textId="0CE9B150" w:rsidR="008C52B5" w:rsidRPr="00C537B0" w:rsidRDefault="008C52B5" w:rsidP="00C537B0">
      <w:pPr>
        <w:pStyle w:val="WPBullet"/>
        <w:rPr>
          <w:rStyle w:val="Strong"/>
        </w:rPr>
      </w:pPr>
      <w:r w:rsidRPr="00C537B0">
        <w:rPr>
          <w:rStyle w:val="Strong"/>
        </w:rPr>
        <w:t>Necessity and proportionality</w:t>
      </w:r>
      <w:r w:rsidR="00C537B0">
        <w:rPr>
          <w:rStyle w:val="Strong"/>
        </w:rPr>
        <w:t>.</w:t>
      </w:r>
    </w:p>
    <w:p w14:paraId="0580C8EC" w14:textId="7C440E65" w:rsidR="008C52B5" w:rsidRPr="00C537B0" w:rsidRDefault="008C52B5" w:rsidP="00C537B0">
      <w:pPr>
        <w:pStyle w:val="WPBullet"/>
        <w:rPr>
          <w:rStyle w:val="Strong"/>
        </w:rPr>
      </w:pPr>
      <w:r w:rsidRPr="00C537B0">
        <w:rPr>
          <w:rStyle w:val="Strong"/>
        </w:rPr>
        <w:t>Consent</w:t>
      </w:r>
      <w:r w:rsidR="00C537B0">
        <w:rPr>
          <w:rStyle w:val="Strong"/>
        </w:rPr>
        <w:t>.</w:t>
      </w:r>
    </w:p>
    <w:p w14:paraId="38A8ADAC" w14:textId="59E92BB5" w:rsidR="008C52B5" w:rsidRPr="00C537B0" w:rsidRDefault="008C52B5" w:rsidP="00C537B0">
      <w:pPr>
        <w:pStyle w:val="WPBullet"/>
        <w:rPr>
          <w:rStyle w:val="Strong"/>
        </w:rPr>
      </w:pPr>
      <w:r w:rsidRPr="00C537B0">
        <w:rPr>
          <w:rStyle w:val="Strong"/>
        </w:rPr>
        <w:t>Power to share</w:t>
      </w:r>
      <w:r w:rsidR="00C537B0">
        <w:rPr>
          <w:rStyle w:val="Strong"/>
        </w:rPr>
        <w:t>.</w:t>
      </w:r>
    </w:p>
    <w:p w14:paraId="3A1B7235" w14:textId="46815D39" w:rsidR="008C52B5" w:rsidRPr="00C537B0" w:rsidRDefault="008C52B5" w:rsidP="00C537B0">
      <w:pPr>
        <w:pStyle w:val="WPBullet"/>
        <w:rPr>
          <w:rStyle w:val="Strong"/>
        </w:rPr>
      </w:pPr>
      <w:r w:rsidRPr="00C537B0">
        <w:rPr>
          <w:rStyle w:val="Strong"/>
        </w:rPr>
        <w:t xml:space="preserve">Legislative requirements </w:t>
      </w:r>
      <w:proofErr w:type="gramStart"/>
      <w:r w:rsidRPr="00C537B0">
        <w:rPr>
          <w:rStyle w:val="Strong"/>
        </w:rPr>
        <w:t>e.g.</w:t>
      </w:r>
      <w:proofErr w:type="gramEnd"/>
      <w:r w:rsidRPr="00C537B0">
        <w:rPr>
          <w:rStyle w:val="Strong"/>
        </w:rPr>
        <w:t xml:space="preserve"> Dat</w:t>
      </w:r>
      <w:r w:rsidR="00C537B0">
        <w:rPr>
          <w:rStyle w:val="Strong"/>
        </w:rPr>
        <w:t xml:space="preserve">a </w:t>
      </w:r>
      <w:r w:rsidRPr="00C537B0">
        <w:rPr>
          <w:rStyle w:val="Strong"/>
        </w:rPr>
        <w:t xml:space="preserve">Protection Act, </w:t>
      </w:r>
      <w:r w:rsidR="00C537B0">
        <w:rPr>
          <w:rStyle w:val="Strong"/>
        </w:rPr>
        <w:t>C</w:t>
      </w:r>
      <w:r w:rsidRPr="00C537B0">
        <w:rPr>
          <w:rStyle w:val="Strong"/>
        </w:rPr>
        <w:t xml:space="preserve">ommon </w:t>
      </w:r>
      <w:r w:rsidR="00C537B0">
        <w:rPr>
          <w:rStyle w:val="Strong"/>
        </w:rPr>
        <w:t>L</w:t>
      </w:r>
      <w:r w:rsidRPr="00C537B0">
        <w:rPr>
          <w:rStyle w:val="Strong"/>
        </w:rPr>
        <w:t xml:space="preserve">aw, </w:t>
      </w:r>
      <w:r w:rsidR="00A6198F">
        <w:rPr>
          <w:rStyle w:val="Strong"/>
        </w:rPr>
        <w:t xml:space="preserve">the </w:t>
      </w:r>
      <w:r w:rsidRPr="00C537B0">
        <w:rPr>
          <w:rStyle w:val="Strong"/>
        </w:rPr>
        <w:t>duty of confidentiality.</w:t>
      </w:r>
    </w:p>
    <w:p w14:paraId="49F9231C" w14:textId="77777777" w:rsidR="008C52B5" w:rsidRPr="00766A63" w:rsidRDefault="008C52B5" w:rsidP="00C537B0">
      <w:pPr>
        <w:pStyle w:val="WPHeading2"/>
      </w:pPr>
      <w:r w:rsidRPr="00766A63">
        <w:t xml:space="preserve">Monitoring and Enforcement </w:t>
      </w:r>
    </w:p>
    <w:p w14:paraId="75C4CA6D" w14:textId="7EEE9240" w:rsidR="008C52B5" w:rsidRPr="00766A63" w:rsidRDefault="008C52B5" w:rsidP="00C537B0">
      <w:pPr>
        <w:pStyle w:val="WPParagraph"/>
        <w:rPr>
          <w:rFonts w:eastAsia="Calibri"/>
        </w:rPr>
      </w:pPr>
      <w:r w:rsidRPr="00766A63">
        <w:rPr>
          <w:rFonts w:eastAsia="Calibri"/>
        </w:rPr>
        <w:t xml:space="preserve">All specified authorities must comply with this duty; they must maintain appropriate records, show compliance with their responsibilities, and provide reports when requested. </w:t>
      </w:r>
    </w:p>
    <w:p w14:paraId="1996AEF6" w14:textId="77777777" w:rsidR="008C52B5" w:rsidRPr="00766A63" w:rsidRDefault="008C52B5" w:rsidP="00336175">
      <w:pPr>
        <w:pStyle w:val="WPHeading2"/>
      </w:pPr>
      <w:r w:rsidRPr="00766A63">
        <w:t>Central Support and Monitoring</w:t>
      </w:r>
    </w:p>
    <w:p w14:paraId="44C2D47B" w14:textId="435346E8" w:rsidR="008C52B5" w:rsidRPr="00766A63" w:rsidRDefault="008C52B5" w:rsidP="00336175">
      <w:pPr>
        <w:pStyle w:val="WPParagraph"/>
        <w:rPr>
          <w:rFonts w:eastAsia="Calibri"/>
        </w:rPr>
      </w:pPr>
      <w:r w:rsidRPr="00766A63">
        <w:rPr>
          <w:rFonts w:eastAsia="Calibri"/>
        </w:rPr>
        <w:t>The Home Office (HO) oversees Prevent</w:t>
      </w:r>
      <w:r w:rsidR="00336175">
        <w:rPr>
          <w:rFonts w:eastAsia="Calibri"/>
        </w:rPr>
        <w:t xml:space="preserve"> Strategy</w:t>
      </w:r>
      <w:r w:rsidRPr="00766A63">
        <w:rPr>
          <w:rFonts w:eastAsia="Calibri"/>
        </w:rPr>
        <w:t xml:space="preserve"> activity in local areas </w:t>
      </w:r>
      <w:r w:rsidR="00336175">
        <w:rPr>
          <w:rFonts w:eastAsia="Calibri"/>
        </w:rPr>
        <w:t>that</w:t>
      </w:r>
      <w:r w:rsidRPr="00766A63">
        <w:rPr>
          <w:rFonts w:eastAsia="Calibri"/>
        </w:rPr>
        <w:t xml:space="preserve"> have been identified as priorities for this programme; they will provide central monitoring for the duty. The HO shares the management of local Prevent </w:t>
      </w:r>
      <w:r w:rsidR="00336175">
        <w:rPr>
          <w:rFonts w:eastAsia="Calibri"/>
        </w:rPr>
        <w:t xml:space="preserve">Strategy </w:t>
      </w:r>
      <w:r w:rsidRPr="00766A63">
        <w:rPr>
          <w:rFonts w:eastAsia="Calibri"/>
        </w:rPr>
        <w:t xml:space="preserve">coordinator teams with </w:t>
      </w:r>
      <w:r w:rsidR="00C537B0">
        <w:rPr>
          <w:rFonts w:eastAsia="Calibri"/>
        </w:rPr>
        <w:t>LAs</w:t>
      </w:r>
      <w:r w:rsidRPr="00766A63">
        <w:rPr>
          <w:rFonts w:eastAsia="Calibri"/>
        </w:rPr>
        <w:t xml:space="preserve">. The HO will draw together data about implementation of Prevent from local and regional Prevent </w:t>
      </w:r>
      <w:r w:rsidR="00336175">
        <w:rPr>
          <w:rFonts w:eastAsia="Calibri"/>
        </w:rPr>
        <w:t xml:space="preserve">Strategy </w:t>
      </w:r>
      <w:r w:rsidRPr="00766A63">
        <w:rPr>
          <w:rFonts w:eastAsia="Calibri"/>
        </w:rPr>
        <w:t xml:space="preserve">coordinators from all specified authorities; monitor and assess the delivery of </w:t>
      </w:r>
      <w:r w:rsidR="00336175">
        <w:rPr>
          <w:rFonts w:eastAsia="Calibri"/>
        </w:rPr>
        <w:t xml:space="preserve">the </w:t>
      </w:r>
      <w:r w:rsidRPr="00766A63">
        <w:rPr>
          <w:rFonts w:eastAsia="Calibri"/>
        </w:rPr>
        <w:t>Prevent</w:t>
      </w:r>
      <w:r w:rsidR="00336175">
        <w:rPr>
          <w:rFonts w:eastAsia="Calibri"/>
        </w:rPr>
        <w:t xml:space="preserve"> Str</w:t>
      </w:r>
      <w:r w:rsidR="00A6198F">
        <w:rPr>
          <w:rFonts w:eastAsia="Calibri"/>
        </w:rPr>
        <w:t>a</w:t>
      </w:r>
      <w:r w:rsidR="00336175">
        <w:rPr>
          <w:rFonts w:eastAsia="Calibri"/>
        </w:rPr>
        <w:t>tegy</w:t>
      </w:r>
      <w:r w:rsidRPr="00766A63">
        <w:rPr>
          <w:rFonts w:eastAsia="Calibri"/>
        </w:rPr>
        <w:t xml:space="preserve">; maintain contact with relevant departments (escalating issues where appropriate); and support the Prevent Oversight Team, chaired by the Minister for Immigration and Security, which may agree on further steps to support </w:t>
      </w:r>
      <w:r w:rsidR="00A6198F">
        <w:rPr>
          <w:rFonts w:eastAsia="Calibri"/>
        </w:rPr>
        <w:t xml:space="preserve">the </w:t>
      </w:r>
      <w:r w:rsidRPr="00766A63">
        <w:rPr>
          <w:rFonts w:eastAsia="Calibri"/>
        </w:rPr>
        <w:t xml:space="preserve">implementation of the duty. Where non-compliance of the duty is identified, the Board can make recommendations to the </w:t>
      </w:r>
      <w:r w:rsidR="00336175" w:rsidRPr="00766A63">
        <w:rPr>
          <w:rFonts w:eastAsia="Calibri"/>
        </w:rPr>
        <w:t xml:space="preserve">secretary of state to use their powers of direction. </w:t>
      </w:r>
    </w:p>
    <w:p w14:paraId="015E469C" w14:textId="77777777" w:rsidR="008C52B5" w:rsidRPr="00766A63" w:rsidRDefault="008C52B5" w:rsidP="00336175">
      <w:pPr>
        <w:pStyle w:val="WPHeading2"/>
      </w:pPr>
      <w:r w:rsidRPr="00766A63">
        <w:t>Inspection Regime in Individual Sectors</w:t>
      </w:r>
    </w:p>
    <w:p w14:paraId="18C76C92" w14:textId="6CD3FD22" w:rsidR="008C52B5" w:rsidRPr="00766A63" w:rsidRDefault="008C52B5" w:rsidP="00336175">
      <w:pPr>
        <w:pStyle w:val="WPParagraph"/>
        <w:rPr>
          <w:rFonts w:eastAsia="Calibri"/>
        </w:rPr>
      </w:pPr>
      <w:r w:rsidRPr="00766A63">
        <w:rPr>
          <w:rFonts w:eastAsia="Calibri"/>
        </w:rPr>
        <w:t>Central support and monitoring will be supported by existing inspection regimes in specific sectors. Not every specified authority has a suitable inspection, and in some areas</w:t>
      </w:r>
      <w:r w:rsidR="00A6198F">
        <w:rPr>
          <w:rFonts w:eastAsia="Calibri"/>
        </w:rPr>
        <w:t>,</w:t>
      </w:r>
      <w:r w:rsidRPr="00766A63">
        <w:rPr>
          <w:rFonts w:eastAsia="Calibri"/>
        </w:rPr>
        <w:t xml:space="preserve"> it may be necessary to create or enhance existing regimes. Specific arrangements are in place to work with the Welsh government to provide support to Welsh inspection regimes. This will mean, for instance, that for specified authorities within health- and social care the inspection regime which will support the Prevent </w:t>
      </w:r>
      <w:r w:rsidR="00336175">
        <w:rPr>
          <w:rFonts w:eastAsia="Calibri"/>
        </w:rPr>
        <w:t>S</w:t>
      </w:r>
      <w:r w:rsidRPr="00766A63">
        <w:rPr>
          <w:rFonts w:eastAsia="Calibri"/>
        </w:rPr>
        <w:t xml:space="preserve">trategy will be the </w:t>
      </w:r>
      <w:r w:rsidR="00336175">
        <w:rPr>
          <w:rFonts w:eastAsia="Calibri"/>
        </w:rPr>
        <w:t>Care Quality Commission (</w:t>
      </w:r>
      <w:r w:rsidRPr="00766A63">
        <w:rPr>
          <w:rFonts w:eastAsia="Calibri"/>
        </w:rPr>
        <w:t>CQC</w:t>
      </w:r>
      <w:r w:rsidR="00336175">
        <w:rPr>
          <w:rFonts w:eastAsia="Calibri"/>
        </w:rPr>
        <w:t>)</w:t>
      </w:r>
      <w:r w:rsidRPr="00766A63">
        <w:rPr>
          <w:rFonts w:eastAsia="Calibri"/>
        </w:rPr>
        <w:t xml:space="preserve">, NHS England, and Monitor, to name but a few. </w:t>
      </w:r>
    </w:p>
    <w:p w14:paraId="359CE2B9" w14:textId="77777777" w:rsidR="008C52B5" w:rsidRPr="00766A63" w:rsidRDefault="008C52B5" w:rsidP="00336175">
      <w:pPr>
        <w:pStyle w:val="WPHeading2"/>
      </w:pPr>
      <w:r w:rsidRPr="00766A63">
        <w:t>Sector-Specific Guidance</w:t>
      </w:r>
    </w:p>
    <w:p w14:paraId="5EB2B5B3" w14:textId="1BA2ECCD" w:rsidR="008C52B5" w:rsidRPr="00766A63" w:rsidRDefault="008C52B5" w:rsidP="00336175">
      <w:pPr>
        <w:pStyle w:val="WPParagraph"/>
        <w:rPr>
          <w:rFonts w:eastAsia="Calibri"/>
        </w:rPr>
      </w:pPr>
      <w:r w:rsidRPr="00766A63">
        <w:rPr>
          <w:rFonts w:eastAsia="Calibri"/>
        </w:rPr>
        <w:t xml:space="preserve">All of the above information relates to all of the sectors identified below. In addition, each of those sectors has its sector-specific guidance. Those sectors are </w:t>
      </w:r>
    </w:p>
    <w:p w14:paraId="08F17823" w14:textId="148155F5" w:rsidR="008C52B5" w:rsidRPr="00766A63" w:rsidRDefault="00C537B0" w:rsidP="00336175">
      <w:pPr>
        <w:pStyle w:val="WPBullet"/>
      </w:pPr>
      <w:r>
        <w:t>LAs</w:t>
      </w:r>
      <w:r w:rsidR="00336175">
        <w:t>.</w:t>
      </w:r>
    </w:p>
    <w:p w14:paraId="329A7D9B" w14:textId="40CB5632" w:rsidR="008C52B5" w:rsidRPr="00766A63" w:rsidRDefault="008C52B5" w:rsidP="00336175">
      <w:pPr>
        <w:pStyle w:val="WPBullet"/>
      </w:pPr>
      <w:r w:rsidRPr="00766A63">
        <w:t>The health sectors</w:t>
      </w:r>
      <w:r w:rsidR="00336175">
        <w:t>.</w:t>
      </w:r>
    </w:p>
    <w:p w14:paraId="6BD16132" w14:textId="53B68CDC" w:rsidR="008C52B5" w:rsidRPr="00766A63" w:rsidRDefault="008C52B5" w:rsidP="00336175">
      <w:pPr>
        <w:pStyle w:val="WPBullet"/>
      </w:pPr>
      <w:r w:rsidRPr="00766A63">
        <w:t>Prisons and probation</w:t>
      </w:r>
      <w:r w:rsidR="00336175">
        <w:t>.</w:t>
      </w:r>
    </w:p>
    <w:p w14:paraId="5A8ABCB7" w14:textId="77777777" w:rsidR="008C52B5" w:rsidRPr="00766A63" w:rsidRDefault="008C52B5" w:rsidP="00336175">
      <w:pPr>
        <w:pStyle w:val="WPBullet"/>
      </w:pPr>
      <w:r w:rsidRPr="00766A63">
        <w:t>The police.</w:t>
      </w:r>
    </w:p>
    <w:p w14:paraId="17769492" w14:textId="7DBDC764" w:rsidR="008C52B5" w:rsidRPr="00766A63" w:rsidRDefault="008C52B5" w:rsidP="00336175">
      <w:pPr>
        <w:pStyle w:val="WPParagraph"/>
        <w:rPr>
          <w:rFonts w:eastAsia="Calibri"/>
        </w:rPr>
      </w:pPr>
      <w:r w:rsidRPr="00766A63">
        <w:rPr>
          <w:rFonts w:eastAsia="Calibri"/>
        </w:rPr>
        <w:lastRenderedPageBreak/>
        <w:t xml:space="preserve">As providers of services to </w:t>
      </w:r>
      <w:r w:rsidR="00C537B0">
        <w:rPr>
          <w:rFonts w:eastAsia="Calibri"/>
        </w:rPr>
        <w:t>LAs</w:t>
      </w:r>
      <w:r w:rsidRPr="00766A63">
        <w:rPr>
          <w:rFonts w:eastAsia="Calibri"/>
        </w:rPr>
        <w:t xml:space="preserve"> and/or the health sector, it is vital to understand Prevent and any role we may play within it via our contractual arrangements. Staff are at the frontline of contact with the local community and need to be aware of Prevent and understand their role </w:t>
      </w:r>
      <w:r w:rsidR="00A6198F">
        <w:rPr>
          <w:rFonts w:eastAsia="Calibri"/>
        </w:rPr>
        <w:t>concerning</w:t>
      </w:r>
      <w:r w:rsidRPr="00766A63">
        <w:rPr>
          <w:rFonts w:eastAsia="Calibri"/>
        </w:rPr>
        <w:t xml:space="preserve"> the strategy. </w:t>
      </w:r>
    </w:p>
    <w:p w14:paraId="3B2E6195" w14:textId="320C7C69" w:rsidR="008C52B5" w:rsidRPr="00766A63" w:rsidRDefault="008C52B5" w:rsidP="00336175">
      <w:pPr>
        <w:pStyle w:val="WPParagraph"/>
        <w:rPr>
          <w:rFonts w:eastAsia="Calibri"/>
        </w:rPr>
      </w:pPr>
      <w:r w:rsidRPr="00766A63">
        <w:rPr>
          <w:rFonts w:eastAsia="Calibri"/>
        </w:rPr>
        <w:t xml:space="preserve">Remember, not all </w:t>
      </w:r>
      <w:r w:rsidR="00C537B0">
        <w:rPr>
          <w:rFonts w:eastAsia="Calibri"/>
        </w:rPr>
        <w:t>LAs</w:t>
      </w:r>
      <w:r w:rsidRPr="00766A63">
        <w:rPr>
          <w:rFonts w:eastAsia="Calibri"/>
        </w:rPr>
        <w:t xml:space="preserve"> will have a Prevent </w:t>
      </w:r>
      <w:r w:rsidR="00336175">
        <w:rPr>
          <w:rFonts w:eastAsia="Calibri"/>
        </w:rPr>
        <w:t xml:space="preserve">Strategy </w:t>
      </w:r>
      <w:r w:rsidRPr="00766A63">
        <w:rPr>
          <w:rFonts w:eastAsia="Calibri"/>
        </w:rPr>
        <w:t xml:space="preserve">coordinator; it depends on the risk level of your locality. Prevent </w:t>
      </w:r>
      <w:r w:rsidR="00336175">
        <w:rPr>
          <w:rFonts w:eastAsia="Calibri"/>
        </w:rPr>
        <w:t xml:space="preserve">Strategy </w:t>
      </w:r>
      <w:r w:rsidRPr="00766A63">
        <w:rPr>
          <w:rFonts w:eastAsia="Calibri"/>
        </w:rPr>
        <w:t xml:space="preserve">coordinators are located within the local police authority and accessed via the 101 number. </w:t>
      </w:r>
    </w:p>
    <w:p w14:paraId="7D6261F9" w14:textId="77777777" w:rsidR="008C52B5" w:rsidRPr="00766A63" w:rsidRDefault="008C52B5" w:rsidP="00336175">
      <w:pPr>
        <w:pStyle w:val="WPHeading2"/>
      </w:pPr>
      <w:r w:rsidRPr="00766A63">
        <w:t>Channel</w:t>
      </w:r>
    </w:p>
    <w:p w14:paraId="42558D49" w14:textId="77777777" w:rsidR="008C52B5" w:rsidRPr="00766A63" w:rsidRDefault="008C52B5" w:rsidP="00336175">
      <w:pPr>
        <w:pStyle w:val="WPHeading3"/>
      </w:pPr>
      <w:r w:rsidRPr="00766A63">
        <w:t>What is it?</w:t>
      </w:r>
    </w:p>
    <w:p w14:paraId="6719FEDC" w14:textId="74973EFC" w:rsidR="008C52B5" w:rsidRPr="00766A63" w:rsidRDefault="008C52B5" w:rsidP="00336175">
      <w:pPr>
        <w:pStyle w:val="WPParagraph"/>
        <w:rPr>
          <w:rFonts w:eastAsia="Calibri"/>
        </w:rPr>
      </w:pPr>
      <w:r w:rsidRPr="00766A63">
        <w:rPr>
          <w:rFonts w:eastAsia="Calibri"/>
        </w:rPr>
        <w:t xml:space="preserve">A multi-agency early intervention process designed to safeguard vulnerable people from being drawn into violent extremist or terrorist behaviour; works in a similar way to </w:t>
      </w:r>
      <w:r w:rsidR="00336175">
        <w:rPr>
          <w:rFonts w:eastAsia="Calibri"/>
        </w:rPr>
        <w:t>safeguarding adults boards (</w:t>
      </w:r>
      <w:r w:rsidRPr="00766A63">
        <w:rPr>
          <w:rFonts w:eastAsia="Calibri"/>
        </w:rPr>
        <w:t>SABs</w:t>
      </w:r>
      <w:r w:rsidR="00336175">
        <w:rPr>
          <w:rFonts w:eastAsia="Calibri"/>
        </w:rPr>
        <w:t>)</w:t>
      </w:r>
      <w:r w:rsidRPr="00766A63">
        <w:rPr>
          <w:rFonts w:eastAsia="Calibri"/>
        </w:rPr>
        <w:t xml:space="preserve">. </w:t>
      </w:r>
    </w:p>
    <w:p w14:paraId="6B5339DA" w14:textId="77777777" w:rsidR="008C52B5" w:rsidRPr="00766A63" w:rsidRDefault="008C52B5" w:rsidP="00336175">
      <w:pPr>
        <w:pStyle w:val="WPHeading3"/>
      </w:pPr>
      <w:r w:rsidRPr="00766A63">
        <w:t xml:space="preserve">Who does it work with? </w:t>
      </w:r>
    </w:p>
    <w:p w14:paraId="72DF4AAA" w14:textId="186973E8" w:rsidR="008C52B5" w:rsidRPr="00766A63" w:rsidRDefault="008C52B5" w:rsidP="00336175">
      <w:pPr>
        <w:pStyle w:val="WPParagraph"/>
        <w:rPr>
          <w:rFonts w:eastAsia="Calibri"/>
        </w:rPr>
      </w:pPr>
      <w:r w:rsidRPr="00766A63">
        <w:rPr>
          <w:rFonts w:eastAsia="Calibri"/>
        </w:rPr>
        <w:t>Individuals of any age are at risk of being exploited by extremists or terrorist ideolog</w:t>
      </w:r>
      <w:r w:rsidR="00A6198F">
        <w:rPr>
          <w:rFonts w:eastAsia="Calibri"/>
        </w:rPr>
        <w:t>i</w:t>
      </w:r>
      <w:r w:rsidRPr="00766A63">
        <w:rPr>
          <w:rFonts w:eastAsia="Calibri"/>
        </w:rPr>
        <w:t xml:space="preserve">es. It provides support for tackling any form of radicalisation or personal vulnerabilities. </w:t>
      </w:r>
    </w:p>
    <w:p w14:paraId="7B40604D" w14:textId="77777777" w:rsidR="008C52B5" w:rsidRPr="00766A63" w:rsidRDefault="008C52B5" w:rsidP="00336175">
      <w:pPr>
        <w:pStyle w:val="WPHeading3"/>
      </w:pPr>
      <w:r w:rsidRPr="00766A63">
        <w:t>The Channel Panel</w:t>
      </w:r>
    </w:p>
    <w:p w14:paraId="6FBB769C" w14:textId="115AC2D2" w:rsidR="008C52B5" w:rsidRPr="00766A63" w:rsidRDefault="008C52B5" w:rsidP="00336175">
      <w:pPr>
        <w:pStyle w:val="WPParagraph"/>
        <w:rPr>
          <w:rFonts w:eastAsia="Calibri"/>
        </w:rPr>
      </w:pPr>
      <w:r w:rsidRPr="00766A63">
        <w:rPr>
          <w:rFonts w:eastAsia="Calibri"/>
        </w:rPr>
        <w:t xml:space="preserve">Each panel is chaired by a </w:t>
      </w:r>
      <w:r w:rsidR="00C537B0">
        <w:rPr>
          <w:rFonts w:eastAsia="Calibri"/>
        </w:rPr>
        <w:t>LA</w:t>
      </w:r>
      <w:r w:rsidRPr="00766A63">
        <w:rPr>
          <w:rFonts w:eastAsia="Calibri"/>
        </w:rPr>
        <w:t xml:space="preserve"> and brings together a range of multi-agency partners to collectively assess the risk; they decide whether a support package is needed. </w:t>
      </w:r>
    </w:p>
    <w:p w14:paraId="05C23CA1" w14:textId="1C829FD5" w:rsidR="008C52B5" w:rsidRPr="00766A63" w:rsidRDefault="008C52B5" w:rsidP="00336175">
      <w:pPr>
        <w:pStyle w:val="WPHeading3"/>
      </w:pPr>
      <w:r w:rsidRPr="00766A63">
        <w:t xml:space="preserve">Raising a </w:t>
      </w:r>
      <w:r w:rsidR="001B7FE2">
        <w:t>C</w:t>
      </w:r>
      <w:r w:rsidRPr="00766A63">
        <w:t>oncern</w:t>
      </w:r>
    </w:p>
    <w:p w14:paraId="5F365FAE" w14:textId="77777777" w:rsidR="00806E70" w:rsidRDefault="008C52B5" w:rsidP="00336175">
      <w:pPr>
        <w:pStyle w:val="WPParagraph"/>
        <w:rPr>
          <w:rFonts w:eastAsia="Calibri"/>
        </w:rPr>
      </w:pPr>
      <w:r w:rsidRPr="00766A63">
        <w:rPr>
          <w:rFonts w:eastAsia="Calibri"/>
        </w:rPr>
        <w:t>If staff believe that someone vulnerable is being exploited or radicalised then the established safeguarding procedures within the company should be used to escalate concerns; this can then raise concerns with Channel, if appropriate.</w:t>
      </w:r>
    </w:p>
    <w:p w14:paraId="1E38B62A" w14:textId="5F94816F" w:rsidR="008C52B5" w:rsidRPr="00766A63" w:rsidRDefault="008C52B5" w:rsidP="00336175">
      <w:pPr>
        <w:pStyle w:val="WPParagraph"/>
        <w:rPr>
          <w:rFonts w:eastAsia="Calibri"/>
        </w:rPr>
      </w:pPr>
      <w:r w:rsidRPr="00766A63">
        <w:rPr>
          <w:rFonts w:eastAsia="Calibri"/>
        </w:rPr>
        <w:t xml:space="preserve">There is separate guidance for further education colleges and children’s services. </w:t>
      </w:r>
    </w:p>
    <w:p w14:paraId="6324E923" w14:textId="43E4AE82" w:rsidR="00C537B0" w:rsidRDefault="009D6C44" w:rsidP="00336175">
      <w:pPr>
        <w:pStyle w:val="WPHeading"/>
      </w:pPr>
      <w:bookmarkStart w:id="2" w:name="_Hlk527965528"/>
      <w:bookmarkStart w:id="3" w:name="_Hlk527548380"/>
      <w:r>
        <w:br/>
      </w:r>
      <w:r w:rsidR="00B14A79" w:rsidRPr="002E7BED">
        <w:t>Related Policies</w:t>
      </w:r>
    </w:p>
    <w:p w14:paraId="59148C5D" w14:textId="44B15C0B" w:rsidR="001B7FE2" w:rsidRPr="00766A63" w:rsidRDefault="001B7FE2" w:rsidP="00336175">
      <w:pPr>
        <w:pStyle w:val="WPParagraph"/>
        <w:rPr>
          <w:rFonts w:eastAsia="Calibri"/>
        </w:rPr>
      </w:pPr>
      <w:r w:rsidRPr="00766A63">
        <w:rPr>
          <w:rFonts w:eastAsia="Calibri"/>
        </w:rPr>
        <w:t>Safeguarding Adults</w:t>
      </w:r>
    </w:p>
    <w:bookmarkEnd w:id="2"/>
    <w:p w14:paraId="1CF2AFB5" w14:textId="3707794F" w:rsidR="00FE749B" w:rsidRDefault="009D6C44" w:rsidP="00336175">
      <w:pPr>
        <w:pStyle w:val="WPHeading"/>
      </w:pPr>
      <w:r>
        <w:br/>
      </w:r>
      <w:r w:rsidR="002A1DEB" w:rsidRPr="002E7BED">
        <w:t xml:space="preserve">Related </w:t>
      </w:r>
      <w:r w:rsidR="002A1DEB">
        <w:t>Guidance</w:t>
      </w:r>
      <w:bookmarkEnd w:id="3"/>
    </w:p>
    <w:p w14:paraId="6B9C743C" w14:textId="77777777" w:rsidR="006474EE" w:rsidRDefault="00191446" w:rsidP="00336175">
      <w:pPr>
        <w:pStyle w:val="WPParagraph"/>
        <w:rPr>
          <w:rFonts w:eastAsia="HGGothicM"/>
          <w:lang w:bidi="en-US"/>
        </w:rPr>
      </w:pPr>
      <w:r w:rsidRPr="00767591">
        <w:rPr>
          <w:rFonts w:eastAsia="HGGothicM"/>
          <w:lang w:bidi="en-US"/>
        </w:rPr>
        <w:t>Safeguarding and Radicalisation</w:t>
      </w:r>
      <w:r w:rsidR="00A2681A">
        <w:rPr>
          <w:rFonts w:eastAsia="HGGothicM"/>
          <w:lang w:bidi="en-US"/>
        </w:rPr>
        <w:t>:</w:t>
      </w:r>
    </w:p>
    <w:p w14:paraId="049882EA" w14:textId="723C78C8" w:rsidR="00191446" w:rsidRDefault="00000000" w:rsidP="00336175">
      <w:pPr>
        <w:pStyle w:val="WPParagraph"/>
        <w:rPr>
          <w:rFonts w:eastAsia="HGGothicM"/>
          <w:color w:val="FF0000"/>
          <w:lang w:bidi="en-US"/>
        </w:rPr>
      </w:pPr>
      <w:hyperlink r:id="rId13" w:history="1">
        <w:r w:rsidR="006474EE" w:rsidRPr="00F053C0">
          <w:rPr>
            <w:rStyle w:val="Hyperlink"/>
            <w:rFonts w:eastAsia="HGGothicM"/>
            <w:bCs/>
            <w:lang w:bidi="en-US"/>
          </w:rPr>
          <w:t>https://www.gov.uk/government/publications/safeguarding-and-radicalisation</w:t>
        </w:r>
      </w:hyperlink>
      <w:r w:rsidR="00191446" w:rsidRPr="00C8670D">
        <w:rPr>
          <w:rFonts w:eastAsia="HGGothicM"/>
          <w:color w:val="FF0000"/>
          <w:lang w:bidi="en-US"/>
        </w:rPr>
        <w:t xml:space="preserve"> </w:t>
      </w:r>
    </w:p>
    <w:p w14:paraId="344DDCE7" w14:textId="77777777" w:rsidR="006474EE" w:rsidRDefault="00191446" w:rsidP="00336175">
      <w:pPr>
        <w:pStyle w:val="WPParagraph"/>
        <w:rPr>
          <w:rFonts w:eastAsia="HGGothicM"/>
          <w:lang w:bidi="en-US"/>
        </w:rPr>
      </w:pPr>
      <w:r w:rsidRPr="00767591">
        <w:rPr>
          <w:rFonts w:eastAsia="HGGothicM"/>
          <w:lang w:bidi="en-US"/>
        </w:rPr>
        <w:t xml:space="preserve">NHS England </w:t>
      </w:r>
      <w:r w:rsidR="00336175">
        <w:rPr>
          <w:rFonts w:eastAsia="HGGothicM"/>
          <w:lang w:bidi="en-US"/>
        </w:rPr>
        <w:t>Safeguarding:</w:t>
      </w:r>
    </w:p>
    <w:p w14:paraId="69E2EB86" w14:textId="538F6A63" w:rsidR="00191446" w:rsidRDefault="00000000" w:rsidP="00336175">
      <w:pPr>
        <w:pStyle w:val="WPParagraph"/>
        <w:rPr>
          <w:rFonts w:eastAsia="HGGothicM"/>
          <w:color w:val="FF0000"/>
          <w:lang w:bidi="en-US"/>
        </w:rPr>
      </w:pPr>
      <w:hyperlink r:id="rId14" w:history="1">
        <w:r w:rsidR="006474EE" w:rsidRPr="00F053C0">
          <w:rPr>
            <w:rStyle w:val="Hyperlink"/>
            <w:rFonts w:eastAsia="HGGothicM"/>
            <w:bCs/>
            <w:lang w:bidi="en-US"/>
          </w:rPr>
          <w:t>https://www.england.nhs.uk/ourwork/safeguarding/our-work/prevent/</w:t>
        </w:r>
      </w:hyperlink>
      <w:r w:rsidR="00191446">
        <w:rPr>
          <w:rFonts w:eastAsia="HGGothicM"/>
          <w:color w:val="FF0000"/>
          <w:lang w:bidi="en-US"/>
        </w:rPr>
        <w:t xml:space="preserve"> </w:t>
      </w:r>
    </w:p>
    <w:p w14:paraId="1DBD5221" w14:textId="34C59B80" w:rsidR="00C537B0" w:rsidRDefault="009D6C44" w:rsidP="00336175">
      <w:pPr>
        <w:pStyle w:val="WPHeading"/>
      </w:pPr>
      <w:r>
        <w:lastRenderedPageBreak/>
        <w:br/>
      </w:r>
      <w:r w:rsidR="002A1DEB" w:rsidRPr="003D6D34">
        <w:t>Training Statement</w:t>
      </w:r>
    </w:p>
    <w:p w14:paraId="1ED0255D" w14:textId="77777777" w:rsidR="00806E70" w:rsidRDefault="00C537B0" w:rsidP="00336175">
      <w:pPr>
        <w:pStyle w:val="WPParagraph"/>
        <w:rPr>
          <w:rFonts w:eastAsia="Calibri"/>
        </w:rPr>
      </w:pPr>
      <w:r>
        <w:rPr>
          <w:rFonts w:eastAsia="Calibri"/>
        </w:rPr>
        <w:t>LAs</w:t>
      </w:r>
      <w:r w:rsidR="001B7FE2" w:rsidRPr="00766A63">
        <w:rPr>
          <w:rFonts w:eastAsia="Calibri"/>
        </w:rPr>
        <w:t xml:space="preserve"> are expected to provide appropriate training to frontline staff, including those whom it contracts for its services. </w:t>
      </w:r>
      <w:bookmarkStart w:id="4" w:name="_Hlk527038464"/>
      <w:bookmarkStart w:id="5" w:name="_Hlk527976468"/>
    </w:p>
    <w:p w14:paraId="1F5FEA29" w14:textId="2C6CBC29" w:rsidR="007358EC" w:rsidRDefault="00C4054B" w:rsidP="007358EC">
      <w:pPr>
        <w:pStyle w:val="WPParagraph"/>
      </w:pPr>
      <w:r>
        <w:t>Date Reviewed: May 2023</w:t>
      </w:r>
    </w:p>
    <w:p w14:paraId="3DA6D7D3" w14:textId="227AFC5E" w:rsidR="007358EC" w:rsidRDefault="007358EC" w:rsidP="007358EC">
      <w:pPr>
        <w:pStyle w:val="WPParagraph"/>
      </w:pPr>
      <w:r>
        <w:t xml:space="preserve">Person responsible for updating this policy: </w:t>
      </w:r>
      <w:r w:rsidR="00797197">
        <w:rPr>
          <w:b/>
          <w:bCs/>
        </w:rPr>
        <w:t>IFEYINWA ODOEMENAM</w:t>
      </w:r>
    </w:p>
    <w:p w14:paraId="1A580091" w14:textId="2A9F11A2" w:rsidR="007358EC" w:rsidRPr="007358EC" w:rsidRDefault="00C4054B" w:rsidP="00336175">
      <w:pPr>
        <w:pStyle w:val="WPParagraph"/>
      </w:pPr>
      <w:r>
        <w:t>Next Review Date: May 2024</w:t>
      </w:r>
    </w:p>
    <w:p w14:paraId="3B485119" w14:textId="77777777" w:rsidR="007358EC" w:rsidRDefault="007358EC" w:rsidP="00336175">
      <w:pPr>
        <w:pStyle w:val="WPParagraph"/>
        <w:rPr>
          <w:rFonts w:eastAsia="Calibri"/>
          <w:b/>
          <w:lang w:val="sk-SK"/>
        </w:rPr>
      </w:pPr>
    </w:p>
    <w:bookmarkEnd w:id="4"/>
    <w:bookmarkEnd w:id="5"/>
    <w:p w14:paraId="5E42BC60" w14:textId="01313AAC" w:rsidR="00980D78" w:rsidRPr="00336175" w:rsidRDefault="00980D78" w:rsidP="00336175">
      <w:pPr>
        <w:pStyle w:val="WPParagraph"/>
        <w:rPr>
          <w:rFonts w:eastAsia="Calibri"/>
        </w:rPr>
      </w:pPr>
    </w:p>
    <w:sectPr w:rsidR="00980D78" w:rsidRPr="0033617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4A5F" w14:textId="77777777" w:rsidR="007C0CF8" w:rsidRDefault="007C0CF8" w:rsidP="00815DED">
      <w:pPr>
        <w:spacing w:after="0" w:line="240" w:lineRule="auto"/>
      </w:pPr>
      <w:r>
        <w:separator/>
      </w:r>
    </w:p>
  </w:endnote>
  <w:endnote w:type="continuationSeparator" w:id="0">
    <w:p w14:paraId="6B5CCCD9" w14:textId="77777777" w:rsidR="007C0CF8" w:rsidRDefault="007C0CF8"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FE2E" w14:textId="77777777" w:rsidR="00BB36F7" w:rsidRDefault="00BB3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7679" w14:textId="77777777" w:rsidR="00BB36F7" w:rsidRDefault="00BB3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E8A9" w14:textId="77777777" w:rsidR="00BB36F7" w:rsidRDefault="00BB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0463" w14:textId="77777777" w:rsidR="007C0CF8" w:rsidRDefault="007C0CF8" w:rsidP="00815DED">
      <w:pPr>
        <w:spacing w:after="0" w:line="240" w:lineRule="auto"/>
      </w:pPr>
      <w:r>
        <w:separator/>
      </w:r>
    </w:p>
  </w:footnote>
  <w:footnote w:type="continuationSeparator" w:id="0">
    <w:p w14:paraId="003A0A3A" w14:textId="77777777" w:rsidR="007C0CF8" w:rsidRDefault="007C0CF8"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8704" w14:textId="77777777" w:rsidR="00BB36F7" w:rsidRDefault="00BB3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4A1C" w14:textId="77777777" w:rsidR="00BB36F7" w:rsidRDefault="00BB3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441B" w14:textId="77777777" w:rsidR="00BB36F7" w:rsidRDefault="00BB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8"/>
    <w:lvl w:ilvl="0">
      <w:start w:val="1"/>
      <w:numFmt w:val="lowerLetter"/>
      <w:lvlText w:val="%1)"/>
      <w:lvlJc w:val="left"/>
      <w:pPr>
        <w:tabs>
          <w:tab w:val="num" w:pos="1440"/>
        </w:tabs>
        <w:ind w:left="1440" w:hanging="720"/>
      </w:pPr>
    </w:lvl>
  </w:abstractNum>
  <w:abstractNum w:abstractNumId="1" w15:restartNumberingAfterBreak="0">
    <w:nsid w:val="00000038"/>
    <w:multiLevelType w:val="singleLevel"/>
    <w:tmpl w:val="00000038"/>
    <w:name w:val="WW8Num55"/>
    <w:lvl w:ilvl="0">
      <w:start w:val="1"/>
      <w:numFmt w:val="lowerLetter"/>
      <w:lvlText w:val="%1)"/>
      <w:lvlJc w:val="left"/>
      <w:pPr>
        <w:tabs>
          <w:tab w:val="num" w:pos="1440"/>
        </w:tabs>
        <w:ind w:left="1440" w:hanging="720"/>
      </w:pPr>
    </w:lvl>
  </w:abstractNum>
  <w:abstractNum w:abstractNumId="2" w15:restartNumberingAfterBreak="0">
    <w:nsid w:val="00000077"/>
    <w:multiLevelType w:val="singleLevel"/>
    <w:tmpl w:val="DBE2E990"/>
    <w:name w:val="WW8Num11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 w15:restartNumberingAfterBreak="0">
    <w:nsid w:val="035D2331"/>
    <w:multiLevelType w:val="hybridMultilevel"/>
    <w:tmpl w:val="98D84092"/>
    <w:lvl w:ilvl="0" w:tplc="0809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4683792"/>
    <w:multiLevelType w:val="multilevel"/>
    <w:tmpl w:val="4CA6D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8EF5A2D"/>
    <w:multiLevelType w:val="hybridMultilevel"/>
    <w:tmpl w:val="5D8AD2E6"/>
    <w:lvl w:ilvl="0" w:tplc="0809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679A8"/>
    <w:multiLevelType w:val="hybridMultilevel"/>
    <w:tmpl w:val="E2E647EA"/>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1C104D"/>
    <w:multiLevelType w:val="multilevel"/>
    <w:tmpl w:val="F8C41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D814E18"/>
    <w:multiLevelType w:val="hybridMultilevel"/>
    <w:tmpl w:val="4EC41EB6"/>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2671D3"/>
    <w:multiLevelType w:val="multilevel"/>
    <w:tmpl w:val="123257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D24571"/>
    <w:multiLevelType w:val="multilevel"/>
    <w:tmpl w:val="AA786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0DE2052"/>
    <w:multiLevelType w:val="multilevel"/>
    <w:tmpl w:val="2E8E4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6DBC0B71"/>
    <w:multiLevelType w:val="hybridMultilevel"/>
    <w:tmpl w:val="32149646"/>
    <w:lvl w:ilvl="0" w:tplc="0809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C437395"/>
    <w:multiLevelType w:val="multilevel"/>
    <w:tmpl w:val="EA9E6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FB641EE"/>
    <w:multiLevelType w:val="hybridMultilevel"/>
    <w:tmpl w:val="A99AFB3E"/>
    <w:lvl w:ilvl="0" w:tplc="2A22C8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119757">
    <w:abstractNumId w:val="6"/>
  </w:num>
  <w:num w:numId="2" w16cid:durableId="203759031">
    <w:abstractNumId w:val="11"/>
  </w:num>
  <w:num w:numId="3" w16cid:durableId="625769384">
    <w:abstractNumId w:val="15"/>
  </w:num>
  <w:num w:numId="4" w16cid:durableId="745765170">
    <w:abstractNumId w:val="10"/>
  </w:num>
  <w:num w:numId="5" w16cid:durableId="193927808">
    <w:abstractNumId w:val="4"/>
  </w:num>
  <w:num w:numId="6" w16cid:durableId="1177695346">
    <w:abstractNumId w:val="12"/>
  </w:num>
  <w:num w:numId="7" w16cid:durableId="1738749954">
    <w:abstractNumId w:val="7"/>
  </w:num>
  <w:num w:numId="8" w16cid:durableId="192495494">
    <w:abstractNumId w:val="8"/>
  </w:num>
  <w:num w:numId="9" w16cid:durableId="2057661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667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5271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890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5590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6357747">
    <w:abstractNumId w:val="16"/>
  </w:num>
  <w:num w:numId="15" w16cid:durableId="1163005414">
    <w:abstractNumId w:val="13"/>
  </w:num>
  <w:num w:numId="16" w16cid:durableId="749961032">
    <w:abstractNumId w:val="3"/>
  </w:num>
  <w:num w:numId="17" w16cid:durableId="2125925694">
    <w:abstractNumId w:val="14"/>
  </w:num>
  <w:num w:numId="18" w16cid:durableId="1656765978">
    <w:abstractNumId w:val="5"/>
  </w:num>
  <w:num w:numId="19" w16cid:durableId="16152891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MwNDc0MzIyNTFT0lEKTi0uzszPAykwrAUAbP1lnCwAAAA="/>
  </w:docVars>
  <w:rsids>
    <w:rsidRoot w:val="00B14A79"/>
    <w:rsid w:val="00027E0D"/>
    <w:rsid w:val="00031119"/>
    <w:rsid w:val="0003398C"/>
    <w:rsid w:val="00044FA8"/>
    <w:rsid w:val="00056408"/>
    <w:rsid w:val="000618DD"/>
    <w:rsid w:val="00075D21"/>
    <w:rsid w:val="00076134"/>
    <w:rsid w:val="000902E7"/>
    <w:rsid w:val="00090B3F"/>
    <w:rsid w:val="000912FA"/>
    <w:rsid w:val="000A27A8"/>
    <w:rsid w:val="000A78A2"/>
    <w:rsid w:val="000B62E7"/>
    <w:rsid w:val="000B6CC5"/>
    <w:rsid w:val="000C1267"/>
    <w:rsid w:val="000C7423"/>
    <w:rsid w:val="000D099A"/>
    <w:rsid w:val="000E166B"/>
    <w:rsid w:val="000E1AAF"/>
    <w:rsid w:val="000E477B"/>
    <w:rsid w:val="00102208"/>
    <w:rsid w:val="00102BCE"/>
    <w:rsid w:val="00102C21"/>
    <w:rsid w:val="00107F3C"/>
    <w:rsid w:val="001117CE"/>
    <w:rsid w:val="00111DFE"/>
    <w:rsid w:val="0011508C"/>
    <w:rsid w:val="0012003A"/>
    <w:rsid w:val="00130345"/>
    <w:rsid w:val="001306FA"/>
    <w:rsid w:val="00130784"/>
    <w:rsid w:val="001400F3"/>
    <w:rsid w:val="00144300"/>
    <w:rsid w:val="001510E9"/>
    <w:rsid w:val="00151C15"/>
    <w:rsid w:val="0015618E"/>
    <w:rsid w:val="00171F21"/>
    <w:rsid w:val="0017673F"/>
    <w:rsid w:val="00176D1C"/>
    <w:rsid w:val="00184161"/>
    <w:rsid w:val="001870F7"/>
    <w:rsid w:val="001875CB"/>
    <w:rsid w:val="00190F90"/>
    <w:rsid w:val="00191446"/>
    <w:rsid w:val="001953E0"/>
    <w:rsid w:val="001A72B6"/>
    <w:rsid w:val="001A77C9"/>
    <w:rsid w:val="001B2F73"/>
    <w:rsid w:val="001B3AC5"/>
    <w:rsid w:val="001B7FE2"/>
    <w:rsid w:val="001C0470"/>
    <w:rsid w:val="001C25B5"/>
    <w:rsid w:val="001C2CEF"/>
    <w:rsid w:val="001C4E2E"/>
    <w:rsid w:val="001D4090"/>
    <w:rsid w:val="001D6D62"/>
    <w:rsid w:val="001E0629"/>
    <w:rsid w:val="001E1DE6"/>
    <w:rsid w:val="001E38A7"/>
    <w:rsid w:val="001F10B8"/>
    <w:rsid w:val="001F6BE2"/>
    <w:rsid w:val="00213EAC"/>
    <w:rsid w:val="002144EA"/>
    <w:rsid w:val="0021676D"/>
    <w:rsid w:val="00217392"/>
    <w:rsid w:val="00220017"/>
    <w:rsid w:val="00225324"/>
    <w:rsid w:val="002254C6"/>
    <w:rsid w:val="0023341D"/>
    <w:rsid w:val="00244BB6"/>
    <w:rsid w:val="00254C5B"/>
    <w:rsid w:val="002704CE"/>
    <w:rsid w:val="00272638"/>
    <w:rsid w:val="0028436C"/>
    <w:rsid w:val="002902E2"/>
    <w:rsid w:val="002A1DEB"/>
    <w:rsid w:val="002A4523"/>
    <w:rsid w:val="002A5B90"/>
    <w:rsid w:val="002A69E3"/>
    <w:rsid w:val="002A747A"/>
    <w:rsid w:val="002B3B32"/>
    <w:rsid w:val="002B3DB3"/>
    <w:rsid w:val="002B3F4F"/>
    <w:rsid w:val="002C0981"/>
    <w:rsid w:val="002D1A16"/>
    <w:rsid w:val="002D66D3"/>
    <w:rsid w:val="002E7BED"/>
    <w:rsid w:val="002F00C8"/>
    <w:rsid w:val="002F5278"/>
    <w:rsid w:val="002F5880"/>
    <w:rsid w:val="003036C3"/>
    <w:rsid w:val="00307FD1"/>
    <w:rsid w:val="0032754E"/>
    <w:rsid w:val="00336175"/>
    <w:rsid w:val="00336FD5"/>
    <w:rsid w:val="0034591F"/>
    <w:rsid w:val="003472F9"/>
    <w:rsid w:val="003564D3"/>
    <w:rsid w:val="003613E9"/>
    <w:rsid w:val="00367A62"/>
    <w:rsid w:val="00371845"/>
    <w:rsid w:val="003830BF"/>
    <w:rsid w:val="00384C73"/>
    <w:rsid w:val="003914D3"/>
    <w:rsid w:val="0039488C"/>
    <w:rsid w:val="003C26D4"/>
    <w:rsid w:val="003D4883"/>
    <w:rsid w:val="003D6D34"/>
    <w:rsid w:val="003E628C"/>
    <w:rsid w:val="003E6EB7"/>
    <w:rsid w:val="003F206F"/>
    <w:rsid w:val="003F2D6D"/>
    <w:rsid w:val="00400574"/>
    <w:rsid w:val="00407C2A"/>
    <w:rsid w:val="00410DEF"/>
    <w:rsid w:val="00416D23"/>
    <w:rsid w:val="004263DA"/>
    <w:rsid w:val="00435AE6"/>
    <w:rsid w:val="00447F61"/>
    <w:rsid w:val="004567D9"/>
    <w:rsid w:val="00460527"/>
    <w:rsid w:val="00474D5E"/>
    <w:rsid w:val="004751AF"/>
    <w:rsid w:val="00482B33"/>
    <w:rsid w:val="004B2269"/>
    <w:rsid w:val="004C6F32"/>
    <w:rsid w:val="004C756D"/>
    <w:rsid w:val="004D2A55"/>
    <w:rsid w:val="004D6BBE"/>
    <w:rsid w:val="004F340C"/>
    <w:rsid w:val="004F3D5C"/>
    <w:rsid w:val="004F4ABE"/>
    <w:rsid w:val="004F6163"/>
    <w:rsid w:val="0050013C"/>
    <w:rsid w:val="00502F37"/>
    <w:rsid w:val="005041C2"/>
    <w:rsid w:val="00512309"/>
    <w:rsid w:val="00513C46"/>
    <w:rsid w:val="00514D6C"/>
    <w:rsid w:val="00526938"/>
    <w:rsid w:val="0053099B"/>
    <w:rsid w:val="005337F8"/>
    <w:rsid w:val="00534A00"/>
    <w:rsid w:val="005460D3"/>
    <w:rsid w:val="00565EF9"/>
    <w:rsid w:val="005716CC"/>
    <w:rsid w:val="005770EC"/>
    <w:rsid w:val="0058142B"/>
    <w:rsid w:val="00592E41"/>
    <w:rsid w:val="005C7D96"/>
    <w:rsid w:val="005D75B8"/>
    <w:rsid w:val="005F6F9F"/>
    <w:rsid w:val="00604F85"/>
    <w:rsid w:val="00610A1E"/>
    <w:rsid w:val="00615B25"/>
    <w:rsid w:val="00620F67"/>
    <w:rsid w:val="00621AD0"/>
    <w:rsid w:val="00626FBC"/>
    <w:rsid w:val="00630D63"/>
    <w:rsid w:val="00631354"/>
    <w:rsid w:val="006321EE"/>
    <w:rsid w:val="00632CF8"/>
    <w:rsid w:val="00635814"/>
    <w:rsid w:val="006474EE"/>
    <w:rsid w:val="006751B3"/>
    <w:rsid w:val="006757BD"/>
    <w:rsid w:val="00675FD0"/>
    <w:rsid w:val="00692145"/>
    <w:rsid w:val="0069296F"/>
    <w:rsid w:val="006A1CC2"/>
    <w:rsid w:val="006A7A53"/>
    <w:rsid w:val="006B46D0"/>
    <w:rsid w:val="006B50FB"/>
    <w:rsid w:val="006D1C53"/>
    <w:rsid w:val="006F2143"/>
    <w:rsid w:val="006F2B0A"/>
    <w:rsid w:val="006F4B44"/>
    <w:rsid w:val="00700331"/>
    <w:rsid w:val="007003F0"/>
    <w:rsid w:val="0071593C"/>
    <w:rsid w:val="007257E4"/>
    <w:rsid w:val="00727476"/>
    <w:rsid w:val="0073303D"/>
    <w:rsid w:val="007358EC"/>
    <w:rsid w:val="00737A98"/>
    <w:rsid w:val="00741927"/>
    <w:rsid w:val="007444D4"/>
    <w:rsid w:val="00750926"/>
    <w:rsid w:val="007662F0"/>
    <w:rsid w:val="00766A63"/>
    <w:rsid w:val="00767591"/>
    <w:rsid w:val="0077521E"/>
    <w:rsid w:val="00790995"/>
    <w:rsid w:val="00794A7C"/>
    <w:rsid w:val="00795779"/>
    <w:rsid w:val="00797197"/>
    <w:rsid w:val="00797737"/>
    <w:rsid w:val="00797DC9"/>
    <w:rsid w:val="007A0A0E"/>
    <w:rsid w:val="007A6E2D"/>
    <w:rsid w:val="007A6EBC"/>
    <w:rsid w:val="007A6FE0"/>
    <w:rsid w:val="007B678B"/>
    <w:rsid w:val="007B78E9"/>
    <w:rsid w:val="007C0CF8"/>
    <w:rsid w:val="007D0C83"/>
    <w:rsid w:val="007D33E8"/>
    <w:rsid w:val="007D4CA3"/>
    <w:rsid w:val="007E1479"/>
    <w:rsid w:val="007E24D0"/>
    <w:rsid w:val="007E2C3A"/>
    <w:rsid w:val="007F69DB"/>
    <w:rsid w:val="007F7D81"/>
    <w:rsid w:val="00801F70"/>
    <w:rsid w:val="00802C85"/>
    <w:rsid w:val="00806E70"/>
    <w:rsid w:val="008144CE"/>
    <w:rsid w:val="00815DED"/>
    <w:rsid w:val="0081721A"/>
    <w:rsid w:val="008243B2"/>
    <w:rsid w:val="008304D2"/>
    <w:rsid w:val="0083495E"/>
    <w:rsid w:val="00837102"/>
    <w:rsid w:val="00850100"/>
    <w:rsid w:val="0085504E"/>
    <w:rsid w:val="008657B1"/>
    <w:rsid w:val="00865E53"/>
    <w:rsid w:val="00881FAA"/>
    <w:rsid w:val="008826A7"/>
    <w:rsid w:val="008A0587"/>
    <w:rsid w:val="008A321B"/>
    <w:rsid w:val="008A40E8"/>
    <w:rsid w:val="008B09F5"/>
    <w:rsid w:val="008B4080"/>
    <w:rsid w:val="008C52B5"/>
    <w:rsid w:val="008C5C2C"/>
    <w:rsid w:val="008E139C"/>
    <w:rsid w:val="008F0485"/>
    <w:rsid w:val="008F5B0A"/>
    <w:rsid w:val="009236E8"/>
    <w:rsid w:val="009254DA"/>
    <w:rsid w:val="00931DF0"/>
    <w:rsid w:val="009428BE"/>
    <w:rsid w:val="00944872"/>
    <w:rsid w:val="00952167"/>
    <w:rsid w:val="00953B22"/>
    <w:rsid w:val="00954464"/>
    <w:rsid w:val="00955A04"/>
    <w:rsid w:val="00962E1E"/>
    <w:rsid w:val="00980D78"/>
    <w:rsid w:val="0098221D"/>
    <w:rsid w:val="00982648"/>
    <w:rsid w:val="00985C79"/>
    <w:rsid w:val="00992B06"/>
    <w:rsid w:val="009A5031"/>
    <w:rsid w:val="009B0642"/>
    <w:rsid w:val="009B5514"/>
    <w:rsid w:val="009C3A84"/>
    <w:rsid w:val="009C5536"/>
    <w:rsid w:val="009D6C44"/>
    <w:rsid w:val="009E26CB"/>
    <w:rsid w:val="009E2A8C"/>
    <w:rsid w:val="009E677C"/>
    <w:rsid w:val="00A130CE"/>
    <w:rsid w:val="00A13A74"/>
    <w:rsid w:val="00A144CA"/>
    <w:rsid w:val="00A22EEF"/>
    <w:rsid w:val="00A2681A"/>
    <w:rsid w:val="00A3105C"/>
    <w:rsid w:val="00A36801"/>
    <w:rsid w:val="00A37B8A"/>
    <w:rsid w:val="00A479E9"/>
    <w:rsid w:val="00A5173D"/>
    <w:rsid w:val="00A52C1D"/>
    <w:rsid w:val="00A57EE6"/>
    <w:rsid w:val="00A6198F"/>
    <w:rsid w:val="00A61A71"/>
    <w:rsid w:val="00A6648F"/>
    <w:rsid w:val="00A70EB8"/>
    <w:rsid w:val="00A83F4E"/>
    <w:rsid w:val="00A84851"/>
    <w:rsid w:val="00A875DE"/>
    <w:rsid w:val="00A9522B"/>
    <w:rsid w:val="00AC1B0B"/>
    <w:rsid w:val="00AC322B"/>
    <w:rsid w:val="00AC603D"/>
    <w:rsid w:val="00AD0210"/>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315D"/>
    <w:rsid w:val="00B55456"/>
    <w:rsid w:val="00B60115"/>
    <w:rsid w:val="00B619B2"/>
    <w:rsid w:val="00B7150E"/>
    <w:rsid w:val="00B90B3C"/>
    <w:rsid w:val="00B95E1D"/>
    <w:rsid w:val="00BA6557"/>
    <w:rsid w:val="00BB36F7"/>
    <w:rsid w:val="00BD13D7"/>
    <w:rsid w:val="00BD7A98"/>
    <w:rsid w:val="00BE34DD"/>
    <w:rsid w:val="00BE3FD0"/>
    <w:rsid w:val="00C25DB5"/>
    <w:rsid w:val="00C30C5A"/>
    <w:rsid w:val="00C36A7D"/>
    <w:rsid w:val="00C372B8"/>
    <w:rsid w:val="00C4054B"/>
    <w:rsid w:val="00C46112"/>
    <w:rsid w:val="00C537B0"/>
    <w:rsid w:val="00C65EEA"/>
    <w:rsid w:val="00C668BF"/>
    <w:rsid w:val="00C755EA"/>
    <w:rsid w:val="00C76179"/>
    <w:rsid w:val="00C77879"/>
    <w:rsid w:val="00C87E13"/>
    <w:rsid w:val="00C9004A"/>
    <w:rsid w:val="00C9329B"/>
    <w:rsid w:val="00C946A3"/>
    <w:rsid w:val="00C95090"/>
    <w:rsid w:val="00C9625A"/>
    <w:rsid w:val="00CA110F"/>
    <w:rsid w:val="00CA4883"/>
    <w:rsid w:val="00CA5AAE"/>
    <w:rsid w:val="00CB5840"/>
    <w:rsid w:val="00CC38D5"/>
    <w:rsid w:val="00CC4F50"/>
    <w:rsid w:val="00CC6E65"/>
    <w:rsid w:val="00CE45EE"/>
    <w:rsid w:val="00D04598"/>
    <w:rsid w:val="00D2465B"/>
    <w:rsid w:val="00D3410A"/>
    <w:rsid w:val="00D36979"/>
    <w:rsid w:val="00D36BEE"/>
    <w:rsid w:val="00D43550"/>
    <w:rsid w:val="00D43AD2"/>
    <w:rsid w:val="00D47047"/>
    <w:rsid w:val="00D47C35"/>
    <w:rsid w:val="00D6264C"/>
    <w:rsid w:val="00D77ED3"/>
    <w:rsid w:val="00D82B0A"/>
    <w:rsid w:val="00D82FF3"/>
    <w:rsid w:val="00D846D7"/>
    <w:rsid w:val="00D92348"/>
    <w:rsid w:val="00D975D4"/>
    <w:rsid w:val="00D978FD"/>
    <w:rsid w:val="00DB199D"/>
    <w:rsid w:val="00DE14D5"/>
    <w:rsid w:val="00DE2AB6"/>
    <w:rsid w:val="00DF7B21"/>
    <w:rsid w:val="00E1095C"/>
    <w:rsid w:val="00E1155C"/>
    <w:rsid w:val="00E16EA0"/>
    <w:rsid w:val="00E171DE"/>
    <w:rsid w:val="00E30CD5"/>
    <w:rsid w:val="00E370B6"/>
    <w:rsid w:val="00E419D6"/>
    <w:rsid w:val="00E44056"/>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D7DA0"/>
    <w:rsid w:val="00EE10DC"/>
    <w:rsid w:val="00EE173D"/>
    <w:rsid w:val="00EE2DF2"/>
    <w:rsid w:val="00EF3922"/>
    <w:rsid w:val="00F00196"/>
    <w:rsid w:val="00F103C2"/>
    <w:rsid w:val="00F172EE"/>
    <w:rsid w:val="00F34750"/>
    <w:rsid w:val="00F368C4"/>
    <w:rsid w:val="00F37840"/>
    <w:rsid w:val="00F43378"/>
    <w:rsid w:val="00F50A2F"/>
    <w:rsid w:val="00F51A86"/>
    <w:rsid w:val="00F563EA"/>
    <w:rsid w:val="00F57767"/>
    <w:rsid w:val="00F60FD7"/>
    <w:rsid w:val="00F70538"/>
    <w:rsid w:val="00F75EC0"/>
    <w:rsid w:val="00F774F8"/>
    <w:rsid w:val="00F86B74"/>
    <w:rsid w:val="00F90B89"/>
    <w:rsid w:val="00F92E3B"/>
    <w:rsid w:val="00F93823"/>
    <w:rsid w:val="00F9432F"/>
    <w:rsid w:val="00FA5005"/>
    <w:rsid w:val="00FA5F47"/>
    <w:rsid w:val="00FB04EE"/>
    <w:rsid w:val="00FB078D"/>
    <w:rsid w:val="00FC4638"/>
    <w:rsid w:val="00FC505D"/>
    <w:rsid w:val="00FD1817"/>
    <w:rsid w:val="00FE749B"/>
    <w:rsid w:val="00FF164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paragraph" w:styleId="Heading6">
    <w:name w:val="heading 6"/>
    <w:basedOn w:val="Normal"/>
    <w:next w:val="Normal"/>
    <w:link w:val="Heading6Char"/>
    <w:uiPriority w:val="9"/>
    <w:semiHidden/>
    <w:unhideWhenUsed/>
    <w:qFormat/>
    <w:rsid w:val="00ED7DA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character" w:customStyle="1" w:styleId="Heading6Char">
    <w:name w:val="Heading 6 Char"/>
    <w:basedOn w:val="DefaultParagraphFont"/>
    <w:link w:val="Heading6"/>
    <w:uiPriority w:val="9"/>
    <w:semiHidden/>
    <w:rsid w:val="00ED7DA0"/>
    <w:rPr>
      <w:rFonts w:asciiTheme="majorHAnsi" w:eastAsiaTheme="majorEastAsia" w:hAnsiTheme="majorHAnsi" w:cstheme="majorBidi"/>
      <w:color w:val="243F60" w:themeColor="accent1" w:themeShade="7F"/>
    </w:rPr>
  </w:style>
  <w:style w:type="paragraph" w:customStyle="1" w:styleId="WPBullet">
    <w:name w:val="W&amp;P Bullet"/>
    <w:basedOn w:val="Normal"/>
    <w:qFormat/>
    <w:rsid w:val="00C537B0"/>
    <w:pPr>
      <w:numPr>
        <w:numId w:val="15"/>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C537B0"/>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C537B0"/>
    <w:rPr>
      <w:color w:val="auto"/>
    </w:rPr>
  </w:style>
  <w:style w:type="paragraph" w:customStyle="1" w:styleId="WPHeading3">
    <w:name w:val="W&amp;P Heading 3"/>
    <w:basedOn w:val="WPHeading2"/>
    <w:qFormat/>
    <w:rsid w:val="00C537B0"/>
    <w:rPr>
      <w:i/>
    </w:rPr>
  </w:style>
  <w:style w:type="paragraph" w:customStyle="1" w:styleId="WPParagraph">
    <w:name w:val="W&amp;P Paragraph"/>
    <w:basedOn w:val="Normal"/>
    <w:qFormat/>
    <w:rsid w:val="00C537B0"/>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92349726">
      <w:bodyDiv w:val="1"/>
      <w:marLeft w:val="0"/>
      <w:marRight w:val="0"/>
      <w:marTop w:val="0"/>
      <w:marBottom w:val="0"/>
      <w:divBdr>
        <w:top w:val="none" w:sz="0" w:space="0" w:color="auto"/>
        <w:left w:val="none" w:sz="0" w:space="0" w:color="auto"/>
        <w:bottom w:val="none" w:sz="0" w:space="0" w:color="auto"/>
        <w:right w:val="none" w:sz="0" w:space="0" w:color="auto"/>
      </w:divBdr>
    </w:div>
    <w:div w:id="97984629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DKHXZA7SSHQN-167323429-701336</_dlc_DocId>
    <_dlc_DocIdUrl xmlns="9daa91de-cd2d-4d57-bbd1-50f17b14a644">
      <Url>https://wandpassessment.sharepoint.com/sites/Data/_layouts/15/DocIdRedir.aspx?ID=DKHXZA7SSHQN-167323429-701336</Url>
      <Description>DKHXZA7SSHQN-167323429-701336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6DFC7-94D2-4012-9991-34BC3EF6DA0D}">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1100CE21-9335-47D1-BB32-D2AACB5D94D4}">
  <ds:schemaRefs>
    <ds:schemaRef ds:uri="http://schemas.openxmlformats.org/officeDocument/2006/bibliography"/>
  </ds:schemaRefs>
</ds:datastoreItem>
</file>

<file path=customXml/itemProps3.xml><?xml version="1.0" encoding="utf-8"?>
<ds:datastoreItem xmlns:ds="http://schemas.openxmlformats.org/officeDocument/2006/customXml" ds:itemID="{95E253AD-4AC2-4916-B53E-34B11BCCC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AFCC2-022F-4B71-A10E-4CC871CB7149}">
  <ds:schemaRefs>
    <ds:schemaRef ds:uri="http://schemas.microsoft.com/sharepoint/events"/>
  </ds:schemaRefs>
</ds:datastoreItem>
</file>

<file path=customXml/itemProps5.xml><?xml version="1.0" encoding="utf-8"?>
<ds:datastoreItem xmlns:ds="http://schemas.openxmlformats.org/officeDocument/2006/customXml" ds:itemID="{671ABEFC-A4B8-4B2E-8613-48793B4C3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2023-07-26T08:56:00Z</dcterms:created>
  <dcterms:modified xsi:type="dcterms:W3CDTF">2023-07-26T08:56:00Z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5577000</vt:r8>
  </property>
  <property fmtid="{D5CDD505-2E9C-101B-9397-08002B2CF9AE}" pid="4" name="_dlc_DocIdItemGuid">
    <vt:lpwstr>6928b66a-6a84-488a-b471-66a875b24030</vt:lpwstr>
  </property>
  <property fmtid="{D5CDD505-2E9C-101B-9397-08002B2CF9AE}" pid="5" name="MediaServiceImageTags">
    <vt:lpwstr/>
  </property>
</Properties>
</file>