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9820" w14:textId="77777777" w:rsidR="00D72C46" w:rsidRDefault="007A2D09" w:rsidP="007A2D09">
      <w:pPr>
        <w:keepNext/>
        <w:keepLines/>
        <w:spacing w:after="0" w:line="240" w:lineRule="auto"/>
        <w:jc w:val="center"/>
        <w:outlineLvl w:val="0"/>
        <w:rPr>
          <w:rFonts w:ascii="Arial" w:eastAsia="Times New Roman" w:hAnsi="Arial" w:cs="Times New Roman"/>
          <w:b/>
          <w:bCs/>
          <w:sz w:val="28"/>
          <w:szCs w:val="28"/>
          <w:lang w:val="en-GB"/>
        </w:rPr>
      </w:pPr>
      <w:bookmarkStart w:id="0" w:name="Consent"/>
      <w:bookmarkEnd w:id="0"/>
      <w:r>
        <w:rPr>
          <w:rFonts w:ascii="Arial" w:eastAsia="Times New Roman" w:hAnsi="Arial" w:cs="Times New Roman"/>
          <w:b/>
          <w:bCs/>
          <w:sz w:val="28"/>
          <w:szCs w:val="28"/>
          <w:lang w:val="en-GB"/>
        </w:rPr>
        <w:br/>
      </w:r>
    </w:p>
    <w:p w14:paraId="42D86D51" w14:textId="77777777" w:rsidR="00D72C46" w:rsidRDefault="00D72C46" w:rsidP="007A2D09">
      <w:pPr>
        <w:keepNext/>
        <w:keepLines/>
        <w:spacing w:after="0" w:line="240" w:lineRule="auto"/>
        <w:jc w:val="center"/>
        <w:outlineLvl w:val="0"/>
        <w:rPr>
          <w:rFonts w:ascii="Arial" w:eastAsia="Times New Roman" w:hAnsi="Arial" w:cs="Times New Roman"/>
          <w:b/>
          <w:bCs/>
          <w:sz w:val="28"/>
          <w:szCs w:val="28"/>
          <w:lang w:val="en-GB"/>
        </w:rPr>
      </w:pPr>
    </w:p>
    <w:p w14:paraId="41279F0D" w14:textId="5EF46FC8" w:rsidR="00D72C46" w:rsidRDefault="00D72C46" w:rsidP="00D72C46">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8240" behindDoc="1" locked="0" layoutInCell="1" allowOverlap="1" wp14:anchorId="1FA968D6" wp14:editId="139F3D04">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494624726"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24726"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280D903D" w14:textId="77777777" w:rsidR="00D72C46" w:rsidRDefault="00D72C46" w:rsidP="00D72C46">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AAD9A4E" w14:textId="77777777" w:rsidR="00D72C46" w:rsidRDefault="00D72C46" w:rsidP="00D72C46">
      <w:pPr>
        <w:keepNext/>
        <w:keepLines/>
        <w:spacing w:after="0" w:line="240" w:lineRule="auto"/>
        <w:outlineLvl w:val="0"/>
        <w:rPr>
          <w:rFonts w:ascii="Arial" w:eastAsia="Times New Roman" w:hAnsi="Arial" w:cs="Times New Roman"/>
          <w:b/>
          <w:bCs/>
          <w:sz w:val="28"/>
          <w:szCs w:val="28"/>
          <w:lang w:val="en-GB"/>
        </w:rPr>
      </w:pPr>
    </w:p>
    <w:p w14:paraId="09F83C66" w14:textId="40FED13B" w:rsidR="00410DEF" w:rsidRPr="009236E8" w:rsidRDefault="00F563EA" w:rsidP="007A2D09">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C</w:t>
      </w:r>
      <w:r w:rsidR="00190F90">
        <w:rPr>
          <w:rFonts w:ascii="Arial" w:eastAsia="Times New Roman" w:hAnsi="Arial" w:cs="Times New Roman"/>
          <w:b/>
          <w:bCs/>
          <w:sz w:val="28"/>
          <w:szCs w:val="28"/>
          <w:lang w:val="en-GB"/>
        </w:rPr>
        <w:t>O</w:t>
      </w:r>
      <w:r w:rsidR="00790995">
        <w:rPr>
          <w:rFonts w:ascii="Arial" w:eastAsia="Times New Roman" w:hAnsi="Arial" w:cs="Times New Roman"/>
          <w:b/>
          <w:bCs/>
          <w:sz w:val="28"/>
          <w:szCs w:val="28"/>
          <w:lang w:val="en-GB"/>
        </w:rPr>
        <w:t>N</w:t>
      </w:r>
      <w:r w:rsidR="003B3F95">
        <w:rPr>
          <w:rFonts w:ascii="Arial" w:eastAsia="Times New Roman" w:hAnsi="Arial" w:cs="Times New Roman"/>
          <w:b/>
          <w:bCs/>
          <w:sz w:val="28"/>
          <w:szCs w:val="28"/>
          <w:lang w:val="en-GB"/>
        </w:rPr>
        <w:t xml:space="preserve">TINUITY OF CARE </w:t>
      </w:r>
      <w:r w:rsidR="00CB2D60">
        <w:rPr>
          <w:rFonts w:ascii="Arial" w:eastAsia="Times New Roman" w:hAnsi="Arial" w:cs="Times New Roman"/>
          <w:b/>
          <w:bCs/>
          <w:sz w:val="28"/>
          <w:szCs w:val="28"/>
          <w:lang w:val="en-GB"/>
        </w:rPr>
        <w:t>FOR</w:t>
      </w:r>
      <w:r w:rsidR="003B3F95">
        <w:rPr>
          <w:rFonts w:ascii="Arial" w:eastAsia="Times New Roman" w:hAnsi="Arial" w:cs="Times New Roman"/>
          <w:b/>
          <w:bCs/>
          <w:sz w:val="28"/>
          <w:szCs w:val="28"/>
          <w:lang w:val="en-GB"/>
        </w:rPr>
        <w:t xml:space="preserve"> SUPPORT WORKERS</w:t>
      </w:r>
    </w:p>
    <w:p w14:paraId="42C6E9DA" w14:textId="16C93454" w:rsidR="00A61A71" w:rsidRDefault="00B14A79" w:rsidP="001E569C">
      <w:pPr>
        <w:pStyle w:val="WPHeading"/>
      </w:pPr>
      <w:r w:rsidRPr="00B14A79">
        <w:t>Scope</w:t>
      </w:r>
    </w:p>
    <w:p w14:paraId="3FE92DFE" w14:textId="1866CFCE" w:rsidR="00B7150E" w:rsidRPr="00F17936" w:rsidRDefault="00B7150E" w:rsidP="00F17936">
      <w:pPr>
        <w:pStyle w:val="WPBullet"/>
        <w:rPr>
          <w:rFonts w:eastAsia="HGGothicM"/>
          <w:b/>
          <w:bCs/>
          <w:lang w:bidi="en-US"/>
        </w:rPr>
      </w:pPr>
      <w:r w:rsidRPr="00F17936">
        <w:rPr>
          <w:rFonts w:eastAsia="HGGothicM"/>
          <w:b/>
          <w:bCs/>
          <w:lang w:bidi="en-US"/>
        </w:rPr>
        <w:t>Policy Statement</w:t>
      </w:r>
    </w:p>
    <w:p w14:paraId="21E3EA7C" w14:textId="544CBB21" w:rsidR="00B7150E" w:rsidRPr="00F17936" w:rsidRDefault="00B7150E" w:rsidP="00F17936">
      <w:pPr>
        <w:pStyle w:val="WPBullet"/>
        <w:rPr>
          <w:rFonts w:eastAsia="HGGothicM"/>
          <w:b/>
          <w:bCs/>
          <w:lang w:bidi="en-US"/>
        </w:rPr>
      </w:pPr>
      <w:r w:rsidRPr="00F17936">
        <w:rPr>
          <w:rFonts w:eastAsia="HGGothicM"/>
          <w:b/>
          <w:bCs/>
          <w:lang w:bidi="en-US"/>
        </w:rPr>
        <w:t>The Policy</w:t>
      </w:r>
    </w:p>
    <w:p w14:paraId="6FBA0CB2" w14:textId="78067ED4" w:rsidR="003B3F95" w:rsidRPr="00F17936" w:rsidRDefault="003B3F95" w:rsidP="00F17936">
      <w:pPr>
        <w:pStyle w:val="WPBullet"/>
      </w:pPr>
      <w:r w:rsidRPr="00F17936">
        <w:t>General Rules for Replacing Workers</w:t>
      </w:r>
    </w:p>
    <w:p w14:paraId="2C3C8FDD" w14:textId="14109C41" w:rsidR="00526E58" w:rsidRPr="00F17936" w:rsidRDefault="00526E58" w:rsidP="00F17936">
      <w:pPr>
        <w:pStyle w:val="WPBullet"/>
      </w:pPr>
      <w:r w:rsidRPr="00F17936">
        <w:t>Agency Staff</w:t>
      </w:r>
    </w:p>
    <w:p w14:paraId="1FF6D5D6" w14:textId="77777777" w:rsidR="003B3F95" w:rsidRPr="00F17936" w:rsidRDefault="003B3F95" w:rsidP="00F17936">
      <w:pPr>
        <w:pStyle w:val="WPBullet"/>
      </w:pPr>
      <w:r w:rsidRPr="00F17936">
        <w:t>Specific Reasons for Making a Change</w:t>
      </w:r>
    </w:p>
    <w:p w14:paraId="6CE0DEDF" w14:textId="3815664E" w:rsidR="00B7150E" w:rsidRPr="00F17936" w:rsidRDefault="00B7150E" w:rsidP="00F17936">
      <w:pPr>
        <w:pStyle w:val="WPBullet"/>
        <w:rPr>
          <w:rFonts w:eastAsia="HGGothicM"/>
          <w:b/>
          <w:bCs/>
          <w:lang w:bidi="en-US"/>
        </w:rPr>
      </w:pPr>
      <w:r w:rsidRPr="00F17936">
        <w:rPr>
          <w:rFonts w:eastAsia="HGGothicM"/>
          <w:b/>
          <w:bCs/>
          <w:lang w:bidi="en-US"/>
        </w:rPr>
        <w:t>Related Policies</w:t>
      </w:r>
    </w:p>
    <w:p w14:paraId="4144DE55" w14:textId="780BAA6A" w:rsidR="00B7150E" w:rsidRPr="00F17936" w:rsidRDefault="00B7150E" w:rsidP="00F17936">
      <w:pPr>
        <w:pStyle w:val="WPBullet"/>
        <w:rPr>
          <w:rFonts w:eastAsia="HGGothicM"/>
          <w:b/>
          <w:bCs/>
          <w:lang w:bidi="en-US"/>
        </w:rPr>
      </w:pPr>
      <w:r w:rsidRPr="00F17936">
        <w:rPr>
          <w:rFonts w:eastAsia="HGGothicM"/>
          <w:b/>
          <w:bCs/>
          <w:lang w:bidi="en-US"/>
        </w:rPr>
        <w:t>Related Guidance</w:t>
      </w:r>
    </w:p>
    <w:p w14:paraId="2D8DA629" w14:textId="030FC062" w:rsidR="00A61A71" w:rsidRPr="00F17936" w:rsidRDefault="00B7150E" w:rsidP="00F17936">
      <w:pPr>
        <w:pStyle w:val="WPBullet"/>
        <w:rPr>
          <w:rFonts w:eastAsia="HGGothicM"/>
          <w:b/>
          <w:bCs/>
          <w:lang w:bidi="en-US"/>
        </w:rPr>
      </w:pPr>
      <w:r w:rsidRPr="00F17936">
        <w:rPr>
          <w:rFonts w:eastAsia="HGGothicM"/>
          <w:b/>
          <w:bCs/>
          <w:lang w:bidi="en-US"/>
        </w:rPr>
        <w:t>Training Statement</w:t>
      </w:r>
    </w:p>
    <w:p w14:paraId="0EA2DC9B" w14:textId="1CFDF98B" w:rsidR="002A5B90" w:rsidRDefault="00B7150E" w:rsidP="001E569C">
      <w:pPr>
        <w:pStyle w:val="WPHeading"/>
      </w:pPr>
      <w:r>
        <w:t>Policy Statement</w:t>
      </w:r>
    </w:p>
    <w:p w14:paraId="3F977B0F" w14:textId="56143C61" w:rsidR="003B3F95" w:rsidRPr="003B3F95" w:rsidRDefault="003B3F95" w:rsidP="001E569C">
      <w:pPr>
        <w:pStyle w:val="WPParagraph"/>
      </w:pPr>
      <w:r w:rsidRPr="003B3F95">
        <w:t>This document sets out the circumstance</w:t>
      </w:r>
      <w:r w:rsidR="00851911" w:rsidRPr="00851911">
        <w:t>s</w:t>
      </w:r>
      <w:r w:rsidR="00F17936">
        <w:t xml:space="preserve"> that may result in</w:t>
      </w:r>
      <w:r w:rsidRPr="003B3F95">
        <w:t xml:space="preserve"> a change of worker from the regular service user</w:t>
      </w:r>
      <w:r w:rsidR="004504C7">
        <w:t>s care</w:t>
      </w:r>
      <w:r w:rsidR="00552F8C">
        <w:t>,</w:t>
      </w:r>
      <w:r w:rsidR="004504C7">
        <w:t xml:space="preserve"> team</w:t>
      </w:r>
      <w:r w:rsidRPr="003B3F95">
        <w:t>.</w:t>
      </w:r>
      <w:r w:rsidR="00B86675">
        <w:t xml:space="preserve"> </w:t>
      </w:r>
      <w:r w:rsidRPr="003B3F95">
        <w:t>This occurs for all sorts of reasons, but particularly when sickness takes place.</w:t>
      </w:r>
      <w:r w:rsidR="00B86675">
        <w:t xml:space="preserve"> </w:t>
      </w:r>
      <w:r w:rsidRPr="003B3F95">
        <w:t>This organisation believes that to deliver a quality service, continuity of care is paramount.</w:t>
      </w:r>
      <w:r w:rsidR="00B86675">
        <w:t xml:space="preserve"> </w:t>
      </w:r>
      <w:r w:rsidRPr="003B3F95">
        <w:t>This policy sets out when changes would need to be made.</w:t>
      </w:r>
    </w:p>
    <w:p w14:paraId="3158C6CA" w14:textId="4E3A4B91" w:rsidR="003B3F95" w:rsidRPr="003B3F95" w:rsidRDefault="003B3F95" w:rsidP="001E569C">
      <w:pPr>
        <w:pStyle w:val="WPParagraph"/>
      </w:pPr>
      <w:r w:rsidRPr="003B3F95">
        <w:t xml:space="preserve">This document outlines the procedures of this organisation </w:t>
      </w:r>
      <w:r w:rsidR="00552F8C">
        <w:t>concerning</w:t>
      </w:r>
      <w:r w:rsidRPr="003B3F95">
        <w:t xml:space="preserve"> the exceptional circumstances in which a change of a service user’s care or support workers might be unavoidable.</w:t>
      </w:r>
    </w:p>
    <w:p w14:paraId="693628E3" w14:textId="17173F46" w:rsidR="002A5B90" w:rsidRDefault="00B14A79" w:rsidP="001E569C">
      <w:pPr>
        <w:pStyle w:val="WPHeading"/>
      </w:pPr>
      <w:r w:rsidRPr="003B3F95">
        <w:t>The Policy</w:t>
      </w:r>
    </w:p>
    <w:p w14:paraId="76EED236" w14:textId="5339CF0A" w:rsidR="003B3F95" w:rsidRPr="003B3F95" w:rsidRDefault="00552F8C" w:rsidP="00B86675">
      <w:pPr>
        <w:pStyle w:val="WPParagraph"/>
      </w:pPr>
      <w:r>
        <w:t>T</w:t>
      </w:r>
      <w:r w:rsidR="003B3F95" w:rsidRPr="003B3F95">
        <w:t>o comply fully with the Fundamental Standard Regulations</w:t>
      </w:r>
      <w:r w:rsidR="00F17936">
        <w:t>,</w:t>
      </w:r>
      <w:r w:rsidR="003B3F95" w:rsidRPr="003B3F95">
        <w:t xml:space="preserve"> this organisation must organise staff and staff duties </w:t>
      </w:r>
      <w:r>
        <w:t>so</w:t>
      </w:r>
      <w:r w:rsidR="003B3F95" w:rsidRPr="003B3F95">
        <w:t xml:space="preserve"> that sufficient numbers of experienced, skilled</w:t>
      </w:r>
      <w:r w:rsidR="00F17936">
        <w:t>,</w:t>
      </w:r>
      <w:r w:rsidR="003B3F95" w:rsidRPr="003B3F95">
        <w:t xml:space="preserve"> and competent staff are on duty at all times.</w:t>
      </w:r>
    </w:p>
    <w:p w14:paraId="43034619" w14:textId="11C8F144" w:rsidR="003B3F95" w:rsidRPr="003B3F95" w:rsidRDefault="00B86675" w:rsidP="00B86675">
      <w:pPr>
        <w:pStyle w:val="WPBullet"/>
      </w:pPr>
      <w:r w:rsidRPr="003B3F95">
        <w:t xml:space="preserve">The registered manager </w:t>
      </w:r>
      <w:proofErr w:type="gramStart"/>
      <w:r w:rsidRPr="003B3F95">
        <w:t>has to</w:t>
      </w:r>
      <w:proofErr w:type="gramEnd"/>
      <w:r w:rsidRPr="003B3F95">
        <w:t xml:space="preserve"> take sufficient steps to ensure that</w:t>
      </w:r>
      <w:r w:rsidR="00F17936">
        <w:t>,</w:t>
      </w:r>
      <w:r w:rsidRPr="003B3F95">
        <w:t xml:space="preserve"> at all times</w:t>
      </w:r>
      <w:r w:rsidR="00F17936">
        <w:t>,</w:t>
      </w:r>
      <w:r w:rsidRPr="003B3F95">
        <w:t xml:space="preserve"> there are sufficient numbers of suitably</w:t>
      </w:r>
      <w:r w:rsidR="00552F8C">
        <w:t xml:space="preserve"> </w:t>
      </w:r>
      <w:r w:rsidRPr="003B3F95">
        <w:t>qualified</w:t>
      </w:r>
      <w:r w:rsidR="00F17936">
        <w:t>,</w:t>
      </w:r>
      <w:r w:rsidRPr="003B3F95">
        <w:t xml:space="preserve"> skilled</w:t>
      </w:r>
      <w:r w:rsidR="00F17936">
        <w:t>,</w:t>
      </w:r>
      <w:r w:rsidRPr="003B3F95">
        <w:t xml:space="preserve"> and experienced staff </w:t>
      </w:r>
      <w:r w:rsidR="00552F8C">
        <w:t>to carry</w:t>
      </w:r>
      <w:r w:rsidRPr="003B3F95">
        <w:t xml:space="preserve"> out the regulated activity</w:t>
      </w:r>
      <w:r w:rsidR="00F17936">
        <w:t>.</w:t>
      </w:r>
    </w:p>
    <w:p w14:paraId="6FA4F6E2" w14:textId="79A3AFB9" w:rsidR="003B3F95" w:rsidRPr="003B3F95" w:rsidRDefault="00B86675" w:rsidP="00B86675">
      <w:pPr>
        <w:pStyle w:val="WPBullet"/>
      </w:pPr>
      <w:r w:rsidRPr="003B3F95">
        <w:t xml:space="preserve">This means that staff </w:t>
      </w:r>
      <w:r w:rsidR="00526E58" w:rsidRPr="003B3F95">
        <w:t>sickness, absence</w:t>
      </w:r>
      <w:r w:rsidR="00F17936">
        <w:t>,</w:t>
      </w:r>
      <w:r w:rsidR="00526E58" w:rsidRPr="003B3F95">
        <w:t xml:space="preserve"> and holiday cover must be planned and managed </w:t>
      </w:r>
      <w:r w:rsidR="00552F8C">
        <w:t>so</w:t>
      </w:r>
      <w:r w:rsidR="00526E58" w:rsidRPr="003B3F95">
        <w:t xml:space="preserve"> that the delivery of service</w:t>
      </w:r>
      <w:r w:rsidR="00F17936">
        <w:t xml:space="preserve"> to the service user</w:t>
      </w:r>
      <w:r w:rsidR="00526E58" w:rsidRPr="003B3F95">
        <w:t xml:space="preserve"> is not compromised</w:t>
      </w:r>
      <w:r w:rsidR="00F17936">
        <w:t>.</w:t>
      </w:r>
    </w:p>
    <w:p w14:paraId="26A03915" w14:textId="3424AD54" w:rsidR="003B3F95" w:rsidRPr="003B3F95" w:rsidRDefault="00B86675" w:rsidP="00B86675">
      <w:pPr>
        <w:pStyle w:val="WPBullet"/>
        <w:rPr>
          <w:b/>
        </w:rPr>
      </w:pPr>
      <w:r w:rsidRPr="003B3F95">
        <w:t xml:space="preserve">It also means </w:t>
      </w:r>
      <w:proofErr w:type="gramStart"/>
      <w:r w:rsidRPr="003B3F95">
        <w:t>taking into account</w:t>
      </w:r>
      <w:proofErr w:type="gramEnd"/>
      <w:r w:rsidRPr="003B3F95">
        <w:t xml:space="preserve"> the needs and preferences of </w:t>
      </w:r>
      <w:r w:rsidR="00552F8C">
        <w:t xml:space="preserve">the </w:t>
      </w:r>
      <w:r w:rsidRPr="003B3F95">
        <w:t>service user</w:t>
      </w:r>
      <w:r w:rsidR="00552F8C">
        <w:t xml:space="preserve"> </w:t>
      </w:r>
      <w:r w:rsidRPr="003B3F95">
        <w:t>to ensure that</w:t>
      </w:r>
      <w:r w:rsidR="00F17936">
        <w:t xml:space="preserve"> the</w:t>
      </w:r>
      <w:r w:rsidRPr="003B3F95">
        <w:t xml:space="preserve"> services deli</w:t>
      </w:r>
      <w:r w:rsidR="00526E58" w:rsidRPr="003B3F95">
        <w:t>vered meet their needs</w:t>
      </w:r>
      <w:r w:rsidR="00F17936">
        <w:t>.</w:t>
      </w:r>
    </w:p>
    <w:p w14:paraId="6BBAB391" w14:textId="7D9A7990" w:rsidR="003B3F95" w:rsidRPr="009C4342" w:rsidRDefault="00B86675" w:rsidP="00B86675">
      <w:pPr>
        <w:pStyle w:val="WPBullet"/>
        <w:rPr>
          <w:b/>
        </w:rPr>
      </w:pPr>
      <w:r w:rsidRPr="009C4342">
        <w:t>This includes, when necessary, taking account of any fluctuating needs</w:t>
      </w:r>
      <w:r w:rsidR="00F17936">
        <w:t>.</w:t>
      </w:r>
    </w:p>
    <w:p w14:paraId="379E6666" w14:textId="2A36779C" w:rsidR="00B86675" w:rsidRPr="00B86675" w:rsidRDefault="00B86675" w:rsidP="003B3F95">
      <w:pPr>
        <w:pStyle w:val="WPBullet"/>
        <w:rPr>
          <w:rFonts w:ascii="Times New Roman" w:hAnsi="Times New Roman"/>
          <w:b/>
          <w:lang w:eastAsia="en-GB"/>
        </w:rPr>
      </w:pPr>
      <w:r w:rsidRPr="009C4342">
        <w:rPr>
          <w:lang w:eastAsia="en-GB"/>
        </w:rPr>
        <w:t>This includes the procuring and use of agency staff where required</w:t>
      </w:r>
      <w:bookmarkStart w:id="1" w:name="_Toc408410452"/>
      <w:bookmarkStart w:id="2" w:name="_Toc408495639"/>
      <w:bookmarkStart w:id="3" w:name="_Toc409431130"/>
      <w:r w:rsidR="00F17936">
        <w:rPr>
          <w:lang w:eastAsia="en-GB"/>
        </w:rPr>
        <w:t>.</w:t>
      </w:r>
    </w:p>
    <w:p w14:paraId="7487B2D1" w14:textId="2AD48FD3" w:rsidR="003B3F95" w:rsidRPr="003B3F95" w:rsidRDefault="003B3F95" w:rsidP="00B86675">
      <w:pPr>
        <w:pStyle w:val="WPHeading2"/>
      </w:pPr>
      <w:r w:rsidRPr="003B3F95">
        <w:lastRenderedPageBreak/>
        <w:t>General Rules for Replacing Workers</w:t>
      </w:r>
      <w:bookmarkEnd w:id="1"/>
      <w:bookmarkEnd w:id="2"/>
      <w:bookmarkEnd w:id="3"/>
    </w:p>
    <w:p w14:paraId="14E3E08F" w14:textId="77777777" w:rsidR="003B3F95" w:rsidRPr="003B3F95" w:rsidRDefault="003B3F95" w:rsidP="00B86675">
      <w:pPr>
        <w:pStyle w:val="WPParagraph"/>
      </w:pPr>
      <w:r w:rsidRPr="003B3F95">
        <w:t>A manager or supervisor who has to arrange for a replacement worker should observe the following general rules:</w:t>
      </w:r>
    </w:p>
    <w:p w14:paraId="052A7F55" w14:textId="77EC1DA5" w:rsidR="003B3F95" w:rsidRPr="00B86675" w:rsidRDefault="00B86675" w:rsidP="00B86675">
      <w:pPr>
        <w:pStyle w:val="WPBullet"/>
      </w:pPr>
      <w:r w:rsidRPr="00B86675">
        <w:t>Consult the service user or their representative if possible and if time permits. This is advisable in every case</w:t>
      </w:r>
      <w:r w:rsidR="00526E58" w:rsidRPr="00B86675">
        <w:t xml:space="preserve"> but is dependent on circumstances.</w:t>
      </w:r>
    </w:p>
    <w:p w14:paraId="4A6387E4" w14:textId="080CBFE4" w:rsidR="003B3F95" w:rsidRPr="00B86675" w:rsidRDefault="00F17936" w:rsidP="00B86675">
      <w:pPr>
        <w:pStyle w:val="WPBullet"/>
      </w:pPr>
      <w:r>
        <w:t>U</w:t>
      </w:r>
      <w:r w:rsidR="00B86675" w:rsidRPr="00B86675">
        <w:t>nless the previous worker was fo</w:t>
      </w:r>
      <w:r w:rsidR="00526E58" w:rsidRPr="00B86675">
        <w:t xml:space="preserve">und to be unsatisfactory, </w:t>
      </w:r>
      <w:r>
        <w:t xml:space="preserve">always </w:t>
      </w:r>
      <w:r w:rsidR="00526E58" w:rsidRPr="00B86675">
        <w:t>use a worker who</w:t>
      </w:r>
      <w:r>
        <w:t>,</w:t>
      </w:r>
      <w:r w:rsidR="00526E58" w:rsidRPr="00B86675">
        <w:t xml:space="preserve"> as near as possible</w:t>
      </w:r>
      <w:r>
        <w:t>,</w:t>
      </w:r>
      <w:r w:rsidR="00526E58" w:rsidRPr="00B86675">
        <w:t xml:space="preserve"> replicates the skills, experience</w:t>
      </w:r>
      <w:r>
        <w:t>,</w:t>
      </w:r>
      <w:r w:rsidR="00526E58" w:rsidRPr="00B86675">
        <w:t xml:space="preserve"> and knowledge of the worker being replaced</w:t>
      </w:r>
      <w:r>
        <w:t>.</w:t>
      </w:r>
    </w:p>
    <w:p w14:paraId="67610F84" w14:textId="216B1F07" w:rsidR="003B3F95" w:rsidRPr="00B86675" w:rsidRDefault="00B86675" w:rsidP="00B86675">
      <w:pPr>
        <w:pStyle w:val="WPBullet"/>
      </w:pPr>
      <w:r w:rsidRPr="00B86675">
        <w:t xml:space="preserve">If the service user has several workers supplying service, consider whether one of the other existing workers could </w:t>
      </w:r>
      <w:r w:rsidR="00526E58" w:rsidRPr="00B86675">
        <w:t>be available</w:t>
      </w:r>
      <w:r w:rsidR="00F17936">
        <w:t>. T</w:t>
      </w:r>
      <w:r w:rsidR="00526E58" w:rsidRPr="00B86675">
        <w:t>his could be made possible by extending hours or by shifting from other duties</w:t>
      </w:r>
      <w:r w:rsidR="004504C7">
        <w:t xml:space="preserve"> </w:t>
      </w:r>
      <w:r w:rsidR="00526E58" w:rsidRPr="00B86675">
        <w:t>but avoid setting off chains of changes that disrupt other service users</w:t>
      </w:r>
      <w:r w:rsidR="00F17936">
        <w:t>.</w:t>
      </w:r>
    </w:p>
    <w:p w14:paraId="119D250E" w14:textId="39E0C077" w:rsidR="003B3F95" w:rsidRPr="00B86675" w:rsidRDefault="00B86675" w:rsidP="00B86675">
      <w:pPr>
        <w:pStyle w:val="WPBullet"/>
      </w:pPr>
      <w:r w:rsidRPr="00B86675">
        <w:t>If the service user has had other workers in the past and was satisfied with them, cons</w:t>
      </w:r>
      <w:r w:rsidR="00526E58" w:rsidRPr="00B86675">
        <w:t>ider whether they could be available</w:t>
      </w:r>
      <w:r w:rsidR="00F17936">
        <w:t>.</w:t>
      </w:r>
    </w:p>
    <w:p w14:paraId="54A3455A" w14:textId="6531E6E8" w:rsidR="003B3F95" w:rsidRPr="00B86675" w:rsidRDefault="00B86675" w:rsidP="00B86675">
      <w:pPr>
        <w:pStyle w:val="WPBullet"/>
      </w:pPr>
      <w:r w:rsidRPr="00B86675">
        <w:t xml:space="preserve">Ensure that the </w:t>
      </w:r>
      <w:proofErr w:type="gramStart"/>
      <w:r w:rsidRPr="00B86675">
        <w:t>newly</w:t>
      </w:r>
      <w:r w:rsidR="00F17936">
        <w:t>-</w:t>
      </w:r>
      <w:r w:rsidR="00526E58" w:rsidRPr="00B86675">
        <w:t>allocated</w:t>
      </w:r>
      <w:proofErr w:type="gramEnd"/>
      <w:r w:rsidR="00526E58" w:rsidRPr="00B86675">
        <w:t xml:space="preserve"> worker is briefed both by you and, if feasible, by the worker being replaced</w:t>
      </w:r>
      <w:r w:rsidR="00F17936">
        <w:t>.</w:t>
      </w:r>
    </w:p>
    <w:p w14:paraId="16A8818A" w14:textId="48403728" w:rsidR="003B3F95" w:rsidRPr="00B86675" w:rsidRDefault="00B86675" w:rsidP="00B86675">
      <w:pPr>
        <w:pStyle w:val="WPBullet"/>
      </w:pPr>
      <w:r w:rsidRPr="00B86675">
        <w:t xml:space="preserve">If there is time, ensure that the </w:t>
      </w:r>
      <w:proofErr w:type="gramStart"/>
      <w:r w:rsidRPr="00B86675">
        <w:t>newly</w:t>
      </w:r>
      <w:r w:rsidR="00F17936">
        <w:t>-</w:t>
      </w:r>
      <w:r w:rsidRPr="00B86675">
        <w:t>allocated</w:t>
      </w:r>
      <w:proofErr w:type="gramEnd"/>
      <w:r w:rsidRPr="00B86675">
        <w:t xml:space="preserve"> worker receives appropriate specialist training before start</w:t>
      </w:r>
      <w:r w:rsidR="00526E58" w:rsidRPr="00B86675">
        <w:t>ing to provide service or as soon after as possible</w:t>
      </w:r>
      <w:r w:rsidR="00F17936">
        <w:t>.</w:t>
      </w:r>
    </w:p>
    <w:p w14:paraId="597E3790" w14:textId="772D6B1B" w:rsidR="003B3F95" w:rsidRPr="00B86675" w:rsidRDefault="00B86675" w:rsidP="00B86675">
      <w:pPr>
        <w:pStyle w:val="WPBullet"/>
      </w:pPr>
      <w:r w:rsidRPr="00B86675">
        <w:t>Apologise fully, express sympathy</w:t>
      </w:r>
      <w:r w:rsidR="00F17936">
        <w:t>,</w:t>
      </w:r>
      <w:r w:rsidRPr="00B86675">
        <w:t xml:space="preserve"> and</w:t>
      </w:r>
      <w:r w:rsidR="00F17936">
        <w:t>,</w:t>
      </w:r>
      <w:r w:rsidRPr="00B86675">
        <w:t xml:space="preserve"> as far as possible</w:t>
      </w:r>
      <w:r w:rsidR="00F17936">
        <w:t>,</w:t>
      </w:r>
      <w:r w:rsidRPr="00B86675">
        <w:t xml:space="preserve"> provide support to the service user and their carer or representative throughout the process</w:t>
      </w:r>
      <w:r w:rsidR="00F17936">
        <w:t>.</w:t>
      </w:r>
    </w:p>
    <w:p w14:paraId="5A268480" w14:textId="7E1A4741" w:rsidR="003B3F95" w:rsidRPr="00B86675" w:rsidRDefault="00B86675" w:rsidP="00B86675">
      <w:pPr>
        <w:pStyle w:val="WPBullet"/>
      </w:pPr>
      <w:r w:rsidRPr="00B86675">
        <w:t xml:space="preserve">In cases where a service user has </w:t>
      </w:r>
      <w:r w:rsidR="00526E58" w:rsidRPr="00B86675">
        <w:t>communication or comprehension difficulties, take special care to ensure, as far as possible, that they understand what is happening, and that the position has been explained to the service user’s relative or representative if there is one</w:t>
      </w:r>
      <w:r w:rsidR="00F17936">
        <w:t>.</w:t>
      </w:r>
    </w:p>
    <w:p w14:paraId="12B5FFA4" w14:textId="62F3C8F5" w:rsidR="003B3F95" w:rsidRPr="00B86675" w:rsidRDefault="00B86675" w:rsidP="00B86675">
      <w:pPr>
        <w:pStyle w:val="WPBullet"/>
      </w:pPr>
      <w:r w:rsidRPr="00B86675">
        <w:t>In cases where a</w:t>
      </w:r>
      <w:r w:rsidR="00526E58" w:rsidRPr="00B86675">
        <w:t xml:space="preserve"> service user is receiving substantial help from a </w:t>
      </w:r>
      <w:proofErr w:type="spellStart"/>
      <w:r w:rsidR="00526E58" w:rsidRPr="00B86675">
        <w:t>carer</w:t>
      </w:r>
      <w:proofErr w:type="spellEnd"/>
      <w:r w:rsidR="00526E58" w:rsidRPr="00B86675">
        <w:t>, ensure that the situation is fully explained to the carer</w:t>
      </w:r>
      <w:r w:rsidR="00F17936">
        <w:t>,</w:t>
      </w:r>
      <w:r w:rsidR="00526E58" w:rsidRPr="00B86675">
        <w:t xml:space="preserve"> as well as to the service user.</w:t>
      </w:r>
    </w:p>
    <w:p w14:paraId="6B1CE196" w14:textId="3D713998" w:rsidR="003B3F95" w:rsidRPr="00B86675" w:rsidRDefault="00B86675" w:rsidP="00B86675">
      <w:pPr>
        <w:pStyle w:val="WPBullet"/>
      </w:pPr>
      <w:r w:rsidRPr="00B86675">
        <w:t xml:space="preserve">Remember that obligations exist to staff as well as to service users. </w:t>
      </w:r>
      <w:proofErr w:type="gramStart"/>
      <w:r w:rsidRPr="00B86675">
        <w:t>In particular, be</w:t>
      </w:r>
      <w:proofErr w:type="gramEnd"/>
      <w:r w:rsidRPr="00B86675">
        <w:t xml:space="preserve"> careful not to revea</w:t>
      </w:r>
      <w:r w:rsidR="00526E58" w:rsidRPr="00B86675">
        <w:t>l confidential information about a staff member</w:t>
      </w:r>
      <w:r w:rsidR="00F17936">
        <w:t>.</w:t>
      </w:r>
    </w:p>
    <w:p w14:paraId="4E071B5F" w14:textId="3BBB46D9" w:rsidR="003B3F95" w:rsidRPr="00B86675" w:rsidRDefault="00B86675" w:rsidP="00B86675">
      <w:pPr>
        <w:pStyle w:val="WPBullet"/>
      </w:pPr>
      <w:r w:rsidRPr="00B86675">
        <w:t>In communicating with a service user or their representative, always consider whether it would be best for a care worker who is familiar with the service user to carry out this function on the company’s behal</w:t>
      </w:r>
      <w:r w:rsidR="00526E58" w:rsidRPr="00B86675">
        <w:t>f</w:t>
      </w:r>
      <w:r w:rsidR="00F17936">
        <w:t>.</w:t>
      </w:r>
    </w:p>
    <w:p w14:paraId="0A867AC9" w14:textId="7AF9F8DC" w:rsidR="00526E58" w:rsidRPr="009C4342" w:rsidRDefault="00526E58" w:rsidP="00B86675">
      <w:pPr>
        <w:pStyle w:val="WPHeading2"/>
        <w:rPr>
          <w:lang w:val="en-GB"/>
        </w:rPr>
      </w:pPr>
      <w:r w:rsidRPr="009C4342">
        <w:rPr>
          <w:lang w:val="en-GB"/>
        </w:rPr>
        <w:t xml:space="preserve">Agency </w:t>
      </w:r>
      <w:r w:rsidR="00B86675">
        <w:rPr>
          <w:lang w:val="en-GB"/>
        </w:rPr>
        <w:t>St</w:t>
      </w:r>
      <w:r w:rsidRPr="009C4342">
        <w:rPr>
          <w:lang w:val="en-GB"/>
        </w:rPr>
        <w:t xml:space="preserve">aff </w:t>
      </w:r>
    </w:p>
    <w:p w14:paraId="64211D27" w14:textId="2B231471" w:rsidR="00526E58" w:rsidRPr="009C4342" w:rsidRDefault="00526E58" w:rsidP="00B86675">
      <w:pPr>
        <w:pStyle w:val="WPParagraph"/>
      </w:pPr>
      <w:r w:rsidRPr="009C4342">
        <w:t xml:space="preserve">Agency staff must be of a competent and high calibre </w:t>
      </w:r>
      <w:r w:rsidR="00552F8C">
        <w:t>so</w:t>
      </w:r>
      <w:r w:rsidRPr="009C4342">
        <w:t xml:space="preserve"> that the quality of care delivery is unaffected by their use. </w:t>
      </w:r>
      <w:r w:rsidR="00552F8C">
        <w:t>Concerning</w:t>
      </w:r>
      <w:r w:rsidRPr="009C4342">
        <w:t xml:space="preserve"> agency staff</w:t>
      </w:r>
      <w:r w:rsidR="00F17936">
        <w:t>,</w:t>
      </w:r>
      <w:r w:rsidRPr="009C4342">
        <w:t xml:space="preserve"> the following process must be followed</w:t>
      </w:r>
    </w:p>
    <w:p w14:paraId="65683A7B" w14:textId="74E4DC4A" w:rsidR="00526E58" w:rsidRPr="00B86675" w:rsidRDefault="00F17936" w:rsidP="00B86675">
      <w:pPr>
        <w:pStyle w:val="WPBullet"/>
      </w:pPr>
      <w:r w:rsidRPr="009C4342">
        <w:t>A contractual arrangement must be in place with a</w:t>
      </w:r>
      <w:r w:rsidR="00526E58" w:rsidRPr="009C4342">
        <w:t xml:space="preserve"> reputable supplier of care agency workers</w:t>
      </w:r>
      <w:r>
        <w:t>.</w:t>
      </w:r>
    </w:p>
    <w:p w14:paraId="6A986E4D" w14:textId="3D21B307" w:rsidR="00526E58" w:rsidRPr="009C4342" w:rsidRDefault="00F17936" w:rsidP="00B86675">
      <w:pPr>
        <w:pStyle w:val="WPBullet"/>
        <w:rPr>
          <w:lang w:eastAsia="en-GB"/>
        </w:rPr>
      </w:pPr>
      <w:r w:rsidRPr="009C4342">
        <w:rPr>
          <w:lang w:eastAsia="en-GB"/>
        </w:rPr>
        <w:t>As part of the contractual arrangement</w:t>
      </w:r>
      <w:r>
        <w:rPr>
          <w:lang w:eastAsia="en-GB"/>
        </w:rPr>
        <w:t>,</w:t>
      </w:r>
      <w:r w:rsidRPr="009C4342">
        <w:rPr>
          <w:lang w:eastAsia="en-GB"/>
        </w:rPr>
        <w:t xml:space="preserve"> a small team of care or support workers</w:t>
      </w:r>
      <w:r w:rsidR="00526E58" w:rsidRPr="009C4342">
        <w:rPr>
          <w:lang w:eastAsia="en-GB"/>
        </w:rPr>
        <w:t xml:space="preserve"> must be available </w:t>
      </w:r>
      <w:r>
        <w:rPr>
          <w:lang w:eastAsia="en-GB"/>
        </w:rPr>
        <w:t>to</w:t>
      </w:r>
      <w:r w:rsidR="00526E58" w:rsidRPr="009C4342">
        <w:rPr>
          <w:lang w:eastAsia="en-GB"/>
        </w:rPr>
        <w:t xml:space="preserve"> us to be able to call on when required</w:t>
      </w:r>
      <w:r>
        <w:rPr>
          <w:lang w:eastAsia="en-GB"/>
        </w:rPr>
        <w:t>.</w:t>
      </w:r>
    </w:p>
    <w:p w14:paraId="74CC7635" w14:textId="4CABAD1D" w:rsidR="00526E58" w:rsidRPr="009C4342" w:rsidRDefault="00F17936" w:rsidP="00B86675">
      <w:pPr>
        <w:pStyle w:val="WPBullet"/>
        <w:rPr>
          <w:lang w:eastAsia="en-GB"/>
        </w:rPr>
      </w:pPr>
      <w:r w:rsidRPr="009C4342">
        <w:rPr>
          <w:lang w:eastAsia="en-GB"/>
        </w:rPr>
        <w:t>As part of the arrangement</w:t>
      </w:r>
      <w:r>
        <w:rPr>
          <w:lang w:eastAsia="en-GB"/>
        </w:rPr>
        <w:t>,</w:t>
      </w:r>
      <w:r w:rsidRPr="009C4342">
        <w:rPr>
          <w:lang w:eastAsia="en-GB"/>
        </w:rPr>
        <w:t xml:space="preserve"> we must ensure that all staff who are available to us have undergone the appropriate recruitment and regulatory checks</w:t>
      </w:r>
      <w:r>
        <w:rPr>
          <w:lang w:eastAsia="en-GB"/>
        </w:rPr>
        <w:t>.</w:t>
      </w:r>
    </w:p>
    <w:p w14:paraId="0EAAFEA7" w14:textId="0CCADB97" w:rsidR="00EB0324" w:rsidRDefault="00F17936" w:rsidP="00EB0324">
      <w:pPr>
        <w:pStyle w:val="WPBullet"/>
        <w:rPr>
          <w:lang w:eastAsia="en-GB"/>
        </w:rPr>
      </w:pPr>
      <w:r w:rsidRPr="009C4342">
        <w:rPr>
          <w:lang w:eastAsia="en-GB"/>
        </w:rPr>
        <w:t>It is not enough for the agency to state that t</w:t>
      </w:r>
      <w:r w:rsidR="00526E58" w:rsidRPr="009C4342">
        <w:rPr>
          <w:lang w:eastAsia="en-GB"/>
        </w:rPr>
        <w:t>hese have been done</w:t>
      </w:r>
      <w:r w:rsidR="004504C7">
        <w:rPr>
          <w:lang w:eastAsia="en-GB"/>
        </w:rPr>
        <w:t xml:space="preserve"> </w:t>
      </w:r>
      <w:r w:rsidR="004504C7" w:rsidRPr="004504C7">
        <w:rPr>
          <w:color w:val="FF0000"/>
          <w:lang w:eastAsia="en-GB"/>
        </w:rPr>
        <w:t>-</w:t>
      </w:r>
      <w:r w:rsidR="00526E58" w:rsidRPr="004504C7">
        <w:rPr>
          <w:color w:val="FF0000"/>
          <w:lang w:eastAsia="en-GB"/>
        </w:rPr>
        <w:t xml:space="preserve"> </w:t>
      </w:r>
      <w:r w:rsidR="00526E58" w:rsidRPr="009C4342">
        <w:rPr>
          <w:lang w:eastAsia="en-GB"/>
        </w:rPr>
        <w:t xml:space="preserve">evidence must be obtained </w:t>
      </w:r>
      <w:r>
        <w:rPr>
          <w:lang w:eastAsia="en-GB"/>
        </w:rPr>
        <w:t>that</w:t>
      </w:r>
      <w:r w:rsidR="00526E58" w:rsidRPr="009C4342">
        <w:rPr>
          <w:lang w:eastAsia="en-GB"/>
        </w:rPr>
        <w:t xml:space="preserve"> details th</w:t>
      </w:r>
      <w:r w:rsidRPr="009C4342">
        <w:rPr>
          <w:lang w:eastAsia="en-GB"/>
        </w:rPr>
        <w:t>e completion of such checks</w:t>
      </w:r>
      <w:r>
        <w:rPr>
          <w:lang w:eastAsia="en-GB"/>
        </w:rPr>
        <w:t xml:space="preserve">, </w:t>
      </w:r>
      <w:r w:rsidRPr="009C4342">
        <w:rPr>
          <w:lang w:eastAsia="en-GB"/>
        </w:rPr>
        <w:t>includ</w:t>
      </w:r>
      <w:r>
        <w:rPr>
          <w:lang w:eastAsia="en-GB"/>
        </w:rPr>
        <w:t>ing</w:t>
      </w:r>
      <w:r w:rsidRPr="009C4342">
        <w:rPr>
          <w:lang w:eastAsia="en-GB"/>
        </w:rPr>
        <w:t xml:space="preserve"> the </w:t>
      </w:r>
      <w:r>
        <w:rPr>
          <w:lang w:eastAsia="en-GB"/>
        </w:rPr>
        <w:t xml:space="preserve">DBS </w:t>
      </w:r>
      <w:r w:rsidRPr="009C4342">
        <w:rPr>
          <w:lang w:eastAsia="en-GB"/>
        </w:rPr>
        <w:t>disclosure number</w:t>
      </w:r>
      <w:r>
        <w:rPr>
          <w:lang w:eastAsia="en-GB"/>
        </w:rPr>
        <w:t>.</w:t>
      </w:r>
    </w:p>
    <w:p w14:paraId="3D0465D3" w14:textId="3AEC19EA" w:rsidR="00526E58" w:rsidRPr="009C4342" w:rsidRDefault="00526E58" w:rsidP="00EB0324">
      <w:pPr>
        <w:pStyle w:val="WPBullet"/>
        <w:rPr>
          <w:lang w:eastAsia="en-GB"/>
        </w:rPr>
      </w:pPr>
      <w:r w:rsidRPr="009C4342">
        <w:rPr>
          <w:lang w:eastAsia="en-GB"/>
        </w:rPr>
        <w:lastRenderedPageBreak/>
        <w:t>Staff who are required to have a specific level of qualification</w:t>
      </w:r>
      <w:r w:rsidR="00F17936">
        <w:rPr>
          <w:lang w:eastAsia="en-GB"/>
        </w:rPr>
        <w:t>,</w:t>
      </w:r>
      <w:r w:rsidRPr="009C4342">
        <w:rPr>
          <w:lang w:eastAsia="en-GB"/>
        </w:rPr>
        <w:t xml:space="preserve"> </w:t>
      </w:r>
      <w:proofErr w:type="gramStart"/>
      <w:r w:rsidRPr="009C4342">
        <w:rPr>
          <w:lang w:eastAsia="en-GB"/>
        </w:rPr>
        <w:t>e.g.</w:t>
      </w:r>
      <w:proofErr w:type="gramEnd"/>
      <w:r w:rsidRPr="009C4342">
        <w:rPr>
          <w:lang w:eastAsia="en-GB"/>
        </w:rPr>
        <w:t xml:space="preserve"> </w:t>
      </w:r>
      <w:r w:rsidR="00F17936">
        <w:rPr>
          <w:lang w:eastAsia="en-GB"/>
        </w:rPr>
        <w:t>L</w:t>
      </w:r>
      <w:r w:rsidRPr="009C4342">
        <w:rPr>
          <w:lang w:eastAsia="en-GB"/>
        </w:rPr>
        <w:t>evel 3</w:t>
      </w:r>
      <w:r w:rsidR="00F17936">
        <w:rPr>
          <w:lang w:eastAsia="en-GB"/>
        </w:rPr>
        <w:t>,</w:t>
      </w:r>
      <w:r w:rsidRPr="009C4342">
        <w:rPr>
          <w:lang w:eastAsia="en-GB"/>
        </w:rPr>
        <w:t xml:space="preserve"> must also have evidence of the required qualification, their training record</w:t>
      </w:r>
      <w:r w:rsidR="00F17936">
        <w:rPr>
          <w:lang w:eastAsia="en-GB"/>
        </w:rPr>
        <w:t>,</w:t>
      </w:r>
      <w:r w:rsidRPr="009C4342">
        <w:rPr>
          <w:lang w:eastAsia="en-GB"/>
        </w:rPr>
        <w:t xml:space="preserve"> and a programme of personal development</w:t>
      </w:r>
      <w:r w:rsidR="00F17936">
        <w:rPr>
          <w:lang w:eastAsia="en-GB"/>
        </w:rPr>
        <w:t>.</w:t>
      </w:r>
    </w:p>
    <w:p w14:paraId="6CC31961" w14:textId="6A50E2E9" w:rsidR="00526E58" w:rsidRPr="009C4342" w:rsidRDefault="00526E58" w:rsidP="00B86675">
      <w:pPr>
        <w:pStyle w:val="WPBullet"/>
        <w:rPr>
          <w:lang w:eastAsia="en-GB"/>
        </w:rPr>
      </w:pPr>
      <w:r w:rsidRPr="009C4342">
        <w:rPr>
          <w:lang w:eastAsia="en-GB"/>
        </w:rPr>
        <w:t xml:space="preserve">Any agency staff must undergo our induction </w:t>
      </w:r>
      <w:r w:rsidR="00552F8C">
        <w:rPr>
          <w:lang w:eastAsia="en-GB"/>
        </w:rPr>
        <w:t>concerning</w:t>
      </w:r>
      <w:r w:rsidRPr="009C4342">
        <w:rPr>
          <w:lang w:eastAsia="en-GB"/>
        </w:rPr>
        <w:t xml:space="preserve"> policies, procedures</w:t>
      </w:r>
      <w:r w:rsidR="00F17936">
        <w:rPr>
          <w:lang w:eastAsia="en-GB"/>
        </w:rPr>
        <w:t>,</w:t>
      </w:r>
      <w:r w:rsidRPr="009C4342">
        <w:rPr>
          <w:lang w:eastAsia="en-GB"/>
        </w:rPr>
        <w:t xml:space="preserve"> and practice</w:t>
      </w:r>
      <w:r w:rsidR="00F17936">
        <w:rPr>
          <w:lang w:eastAsia="en-GB"/>
        </w:rPr>
        <w:t>.</w:t>
      </w:r>
    </w:p>
    <w:p w14:paraId="13B19441" w14:textId="132DCF4C" w:rsidR="00526E58" w:rsidRPr="009C4342" w:rsidRDefault="00526E58" w:rsidP="00B86675">
      <w:pPr>
        <w:pStyle w:val="WPBullet"/>
        <w:rPr>
          <w:lang w:eastAsia="en-GB"/>
        </w:rPr>
      </w:pPr>
      <w:r w:rsidRPr="009C4342">
        <w:rPr>
          <w:lang w:eastAsia="en-GB"/>
        </w:rPr>
        <w:t>As an organisation committed to continuity of care and the quality of our care</w:t>
      </w:r>
      <w:r w:rsidR="00F17936">
        <w:rPr>
          <w:lang w:eastAsia="en-GB"/>
        </w:rPr>
        <w:t>,</w:t>
      </w:r>
      <w:r w:rsidRPr="009C4342">
        <w:rPr>
          <w:lang w:eastAsia="en-GB"/>
        </w:rPr>
        <w:t xml:space="preserve"> </w:t>
      </w:r>
      <w:proofErr w:type="gramStart"/>
      <w:r w:rsidRPr="009C4342">
        <w:rPr>
          <w:lang w:eastAsia="en-GB"/>
        </w:rPr>
        <w:t>a</w:t>
      </w:r>
      <w:r w:rsidR="004204C8">
        <w:rPr>
          <w:lang w:eastAsia="en-GB"/>
        </w:rPr>
        <w:t>n</w:t>
      </w:r>
      <w:proofErr w:type="gramEnd"/>
      <w:r w:rsidRPr="009C4342">
        <w:rPr>
          <w:lang w:eastAsia="en-GB"/>
        </w:rPr>
        <w:t xml:space="preserve"> review of our agency supplier will take place annually or before if there is an issue with the continuity or the competency of the assigned staff</w:t>
      </w:r>
      <w:r w:rsidR="00F17936">
        <w:rPr>
          <w:lang w:eastAsia="en-GB"/>
        </w:rPr>
        <w:t>.</w:t>
      </w:r>
    </w:p>
    <w:p w14:paraId="1E913863" w14:textId="2448CA85" w:rsidR="00526E58" w:rsidRPr="009C4342" w:rsidRDefault="00526E58" w:rsidP="00B86675">
      <w:pPr>
        <w:pStyle w:val="WPBullet"/>
        <w:rPr>
          <w:b/>
          <w:bCs/>
          <w:lang w:eastAsia="en-GB"/>
        </w:rPr>
      </w:pPr>
      <w:r w:rsidRPr="009C4342">
        <w:rPr>
          <w:lang w:eastAsia="en-GB"/>
        </w:rPr>
        <w:t xml:space="preserve">We are currently contracted with the following agencies </w:t>
      </w:r>
      <w:bookmarkStart w:id="4" w:name="Continuityinput1"/>
      <w:r w:rsidR="00FC2721" w:rsidRPr="00FC2721">
        <w:rPr>
          <w:b/>
          <w:bCs/>
          <w:sz w:val="22"/>
          <w:szCs w:val="22"/>
          <w:lang w:eastAsia="en-GB"/>
        </w:rPr>
        <w:t>BLESSING EZIKE</w:t>
      </w:r>
      <w:r w:rsidR="00F17936">
        <w:rPr>
          <w:b/>
          <w:bCs/>
          <w:lang w:eastAsia="en-GB"/>
        </w:rPr>
        <w:t>.</w:t>
      </w:r>
    </w:p>
    <w:p w14:paraId="01B1EA4D" w14:textId="27FFC3F5" w:rsidR="003B3F95" w:rsidRPr="003B3F95" w:rsidRDefault="003B3F95" w:rsidP="00B86675">
      <w:pPr>
        <w:pStyle w:val="WPHeading2"/>
      </w:pPr>
      <w:bookmarkStart w:id="5" w:name="_Toc408410453"/>
      <w:bookmarkStart w:id="6" w:name="_Toc408495640"/>
      <w:bookmarkStart w:id="7" w:name="_Toc409431131"/>
      <w:bookmarkEnd w:id="4"/>
      <w:r w:rsidRPr="003B3F95">
        <w:t>Specific Reasons for Making a Change</w:t>
      </w:r>
      <w:bookmarkEnd w:id="5"/>
      <w:bookmarkEnd w:id="6"/>
      <w:bookmarkEnd w:id="7"/>
    </w:p>
    <w:p w14:paraId="217636D5" w14:textId="201CCD03" w:rsidR="003B3F95" w:rsidRPr="003B3F95" w:rsidRDefault="00552F8C" w:rsidP="00B86675">
      <w:pPr>
        <w:pStyle w:val="WPHeading3"/>
      </w:pPr>
      <w:r>
        <w:t>The w</w:t>
      </w:r>
      <w:r w:rsidR="003B3F95" w:rsidRPr="003B3F95">
        <w:t xml:space="preserve">orker is </w:t>
      </w:r>
      <w:r>
        <w:t>u</w:t>
      </w:r>
      <w:r w:rsidR="003B3F95" w:rsidRPr="003B3F95">
        <w:t xml:space="preserve">navailable at </w:t>
      </w:r>
      <w:r>
        <w:t>s</w:t>
      </w:r>
      <w:r w:rsidR="003B3F95" w:rsidRPr="003B3F95">
        <w:t xml:space="preserve">hort </w:t>
      </w:r>
      <w:proofErr w:type="gramStart"/>
      <w:r>
        <w:t>n</w:t>
      </w:r>
      <w:r w:rsidR="003B3F95" w:rsidRPr="003B3F95">
        <w:t>otice</w:t>
      </w:r>
      <w:proofErr w:type="gramEnd"/>
    </w:p>
    <w:p w14:paraId="4F225F53" w14:textId="136E7D7C" w:rsidR="003B3F95" w:rsidRPr="003B3F95" w:rsidRDefault="003B3F95" w:rsidP="00B86675">
      <w:pPr>
        <w:pStyle w:val="WPParagraph"/>
      </w:pPr>
      <w:r w:rsidRPr="003B3F95">
        <w:t>Most sickness absence is unpredictable, so quick action is likely to be needed to fill the gap created by the non-availability of a worker. An attempt should be made to work out how long the absence is likely to be and to make a plan to cover the whole period</w:t>
      </w:r>
      <w:r w:rsidR="00F17936">
        <w:t>,</w:t>
      </w:r>
      <w:r w:rsidRPr="003B3F95">
        <w:t xml:space="preserve"> rather than proceeding on a day-to-day basis. An absence arising from special or compassionate leave should be similarly handled.</w:t>
      </w:r>
    </w:p>
    <w:p w14:paraId="74AFCABE" w14:textId="0E0FEF51" w:rsidR="003B3F95" w:rsidRPr="003B3F95" w:rsidRDefault="003B3F95" w:rsidP="00B86675">
      <w:pPr>
        <w:pStyle w:val="WPHeading3"/>
      </w:pPr>
      <w:r w:rsidRPr="003B3F95">
        <w:t xml:space="preserve">Worker on </w:t>
      </w:r>
      <w:r w:rsidR="00552F8C">
        <w:t>h</w:t>
      </w:r>
      <w:r w:rsidRPr="003B3F95">
        <w:t xml:space="preserve">oliday or </w:t>
      </w:r>
      <w:r w:rsidR="00552F8C">
        <w:t>t</w:t>
      </w:r>
      <w:r w:rsidRPr="003B3F95">
        <w:t>raining</w:t>
      </w:r>
    </w:p>
    <w:p w14:paraId="1701C1D4" w14:textId="145CAA21" w:rsidR="003B3F95" w:rsidRPr="003B3F95" w:rsidRDefault="003B3F95" w:rsidP="00B86675">
      <w:pPr>
        <w:pStyle w:val="WPParagraph"/>
      </w:pPr>
      <w:r w:rsidRPr="003B3F95">
        <w:t>It should usually be possible to anticipate absences resulting from holidays or training</w:t>
      </w:r>
      <w:r w:rsidR="00F17936">
        <w:t>,</w:t>
      </w:r>
      <w:r w:rsidRPr="003B3F95">
        <w:t xml:space="preserve"> make careful replacement plans</w:t>
      </w:r>
      <w:r w:rsidR="00F17936">
        <w:t>,</w:t>
      </w:r>
      <w:r w:rsidRPr="003B3F95">
        <w:t xml:space="preserve"> and explain the situation fully to the service user in advance.</w:t>
      </w:r>
    </w:p>
    <w:p w14:paraId="39759D96" w14:textId="720E390E" w:rsidR="003B3F95" w:rsidRPr="003B3F95" w:rsidRDefault="00552F8C" w:rsidP="00B86675">
      <w:pPr>
        <w:pStyle w:val="WPHeading3"/>
      </w:pPr>
      <w:r>
        <w:t>A w</w:t>
      </w:r>
      <w:r w:rsidR="003B3F95" w:rsidRPr="003B3F95">
        <w:t xml:space="preserve">orker </w:t>
      </w:r>
      <w:r>
        <w:t>l</w:t>
      </w:r>
      <w:r w:rsidR="003B3F95" w:rsidRPr="003B3F95">
        <w:t xml:space="preserve">eaves the </w:t>
      </w:r>
      <w:proofErr w:type="spellStart"/>
      <w:proofErr w:type="gramStart"/>
      <w:r>
        <w:t>o</w:t>
      </w:r>
      <w:r w:rsidR="003B3F95" w:rsidRPr="003B3F95">
        <w:t>rganisation</w:t>
      </w:r>
      <w:proofErr w:type="spellEnd"/>
      <w:proofErr w:type="gramEnd"/>
    </w:p>
    <w:p w14:paraId="702B467A" w14:textId="3DA44B6E" w:rsidR="003B3F95" w:rsidRPr="003B3F95" w:rsidRDefault="003B3F95" w:rsidP="00B86675">
      <w:pPr>
        <w:pStyle w:val="WPParagraph"/>
      </w:pPr>
      <w:r w:rsidRPr="003B3F95">
        <w:t>It should usually be possible to anticipate absences resulting from a worker leaving the company, make careful replacement plans</w:t>
      </w:r>
      <w:r w:rsidR="00F17936">
        <w:t>,</w:t>
      </w:r>
      <w:r w:rsidRPr="003B3F95">
        <w:t xml:space="preserve"> and explain the situation fully to the service user in advance.</w:t>
      </w:r>
    </w:p>
    <w:p w14:paraId="473B9EFF" w14:textId="207127D5" w:rsidR="003B3F95" w:rsidRPr="003B3F95" w:rsidRDefault="003B3F95" w:rsidP="00B86675">
      <w:pPr>
        <w:pStyle w:val="WPHeading3"/>
      </w:pPr>
      <w:r w:rsidRPr="003B3F95">
        <w:t xml:space="preserve">Sudden, </w:t>
      </w:r>
      <w:r w:rsidR="00F17936">
        <w:t>U</w:t>
      </w:r>
      <w:r w:rsidRPr="003B3F95">
        <w:t xml:space="preserve">npredicted </w:t>
      </w:r>
      <w:r w:rsidR="00F17936">
        <w:t>N</w:t>
      </w:r>
      <w:r w:rsidRPr="003B3F95">
        <w:t xml:space="preserve">eed to </w:t>
      </w:r>
      <w:r w:rsidR="00F17936">
        <w:t>C</w:t>
      </w:r>
      <w:r w:rsidRPr="003B3F95">
        <w:t xml:space="preserve">hange </w:t>
      </w:r>
      <w:r w:rsidR="00F17936">
        <w:t>W</w:t>
      </w:r>
      <w:r w:rsidRPr="003B3F95">
        <w:t xml:space="preserve">orker </w:t>
      </w:r>
      <w:r w:rsidR="00F17936">
        <w:t>P</w:t>
      </w:r>
      <w:r w:rsidRPr="003B3F95">
        <w:t>ermanently</w:t>
      </w:r>
    </w:p>
    <w:p w14:paraId="554F6D09" w14:textId="1CB1A2D3" w:rsidR="003B3F95" w:rsidRPr="003B3F95" w:rsidRDefault="003B3F95" w:rsidP="00B86675">
      <w:pPr>
        <w:pStyle w:val="WPParagraph"/>
      </w:pPr>
      <w:r w:rsidRPr="003B3F95">
        <w:t xml:space="preserve">If a worker, </w:t>
      </w:r>
      <w:r w:rsidR="00F17936">
        <w:t>e.g.</w:t>
      </w:r>
      <w:r w:rsidRPr="003B3F95">
        <w:t xml:space="preserve"> leaves the company without notice or it becomes necessary to change a worker urgently for any of the reasons listed, quick action is likely to be needed to fill the gap. Consideration should be given as to whether it is possible to make an alternative long-term arrangement immediately or whether a temporary arrangement is necessary until a more satisfactory long-term replacement can be available.</w:t>
      </w:r>
    </w:p>
    <w:p w14:paraId="6316C849" w14:textId="191F7C4F" w:rsidR="003B3F95" w:rsidRPr="003B3F95" w:rsidRDefault="003B3F95" w:rsidP="00B86675">
      <w:pPr>
        <w:pStyle w:val="WPHeading3"/>
      </w:pPr>
      <w:r w:rsidRPr="003B3F95">
        <w:t xml:space="preserve">Service </w:t>
      </w:r>
      <w:r w:rsidR="00F17936" w:rsidRPr="003B3F95">
        <w:t xml:space="preserve">Requirements Change </w:t>
      </w:r>
      <w:r w:rsidR="00F17936">
        <w:t>i</w:t>
      </w:r>
      <w:r w:rsidR="00F17936" w:rsidRPr="003B3F95">
        <w:t xml:space="preserve">n Ways </w:t>
      </w:r>
      <w:r w:rsidR="00F17936">
        <w:t>t</w:t>
      </w:r>
      <w:r w:rsidR="00F17936" w:rsidRPr="003B3F95">
        <w:t xml:space="preserve">hat Make </w:t>
      </w:r>
      <w:r w:rsidR="00F17936">
        <w:t>i</w:t>
      </w:r>
      <w:r w:rsidR="00F17936" w:rsidRPr="003B3F95">
        <w:t xml:space="preserve">t Impossible </w:t>
      </w:r>
      <w:r w:rsidR="00F17936">
        <w:t>f</w:t>
      </w:r>
      <w:r w:rsidR="00F17936" w:rsidRPr="003B3F95">
        <w:t xml:space="preserve">or </w:t>
      </w:r>
      <w:r w:rsidR="00F17936">
        <w:t>t</w:t>
      </w:r>
      <w:r w:rsidR="00F17936" w:rsidRPr="003B3F95">
        <w:t xml:space="preserve">he Worker </w:t>
      </w:r>
      <w:r w:rsidR="00F17936">
        <w:t>t</w:t>
      </w:r>
      <w:r w:rsidR="00F17936" w:rsidRPr="003B3F95">
        <w:t>o Continue</w:t>
      </w:r>
    </w:p>
    <w:p w14:paraId="7C0E8670" w14:textId="1459528A" w:rsidR="003B3F95" w:rsidRPr="003B3F95" w:rsidRDefault="003B3F95" w:rsidP="00B86675">
      <w:pPr>
        <w:pStyle w:val="WPParagraph"/>
      </w:pPr>
      <w:r w:rsidRPr="003B3F95">
        <w:t>If a situation arises in which it becomes apparent that a worker does not have the necessary skills, physical capacity</w:t>
      </w:r>
      <w:r w:rsidR="00F17936">
        <w:t>,</w:t>
      </w:r>
      <w:r w:rsidRPr="003B3F95">
        <w:t xml:space="preserve"> or training to deal with a service user’s changed needs</w:t>
      </w:r>
      <w:r w:rsidR="00F17936">
        <w:t>,</w:t>
      </w:r>
      <w:r w:rsidRPr="003B3F95">
        <w:t xml:space="preserve"> or cannot be available for additional hours or changed times, it should usually be possible to anticipate the development and make planned arrangements for a replacement. If not, the point above applies.</w:t>
      </w:r>
    </w:p>
    <w:p w14:paraId="5448626F" w14:textId="1F734A80" w:rsidR="003B3F95" w:rsidRPr="003B3F95" w:rsidRDefault="003B3F95" w:rsidP="00B86675">
      <w:pPr>
        <w:pStyle w:val="WPHeading3"/>
      </w:pPr>
      <w:r w:rsidRPr="003B3F95">
        <w:lastRenderedPageBreak/>
        <w:t xml:space="preserve">Service </w:t>
      </w:r>
      <w:r w:rsidR="004336A1" w:rsidRPr="003B3F95">
        <w:t xml:space="preserve">User Requests </w:t>
      </w:r>
      <w:r w:rsidR="004336A1">
        <w:t>a</w:t>
      </w:r>
      <w:r w:rsidR="004336A1" w:rsidRPr="003B3F95">
        <w:t xml:space="preserve"> Change </w:t>
      </w:r>
      <w:r w:rsidR="004336A1">
        <w:t>o</w:t>
      </w:r>
      <w:r w:rsidR="004336A1" w:rsidRPr="003B3F95">
        <w:t>f Worker</w:t>
      </w:r>
    </w:p>
    <w:p w14:paraId="77F51DF4" w14:textId="57E1E1A8" w:rsidR="003B3F95" w:rsidRPr="003B3F95" w:rsidRDefault="003B3F95" w:rsidP="00B86675">
      <w:pPr>
        <w:pStyle w:val="WPParagraph"/>
      </w:pPr>
      <w:r w:rsidRPr="003B3F95">
        <w:t>If the service user requests a change of worker, the manager should</w:t>
      </w:r>
      <w:r w:rsidR="004336A1">
        <w:t>,</w:t>
      </w:r>
      <w:r w:rsidRPr="003B3F95">
        <w:t xml:space="preserve"> of course</w:t>
      </w:r>
      <w:r w:rsidR="004336A1">
        <w:t>,</w:t>
      </w:r>
      <w:r w:rsidRPr="003B3F95">
        <w:t xml:space="preserve"> explore the reasons. In most cases, since we always aim to meet service users’ requirements, the request should be met. Even if the request seems unreasonable, it may be wise to make a change</w:t>
      </w:r>
      <w:r w:rsidR="004336A1">
        <w:t>,</w:t>
      </w:r>
      <w:r w:rsidRPr="003B3F95">
        <w:t xml:space="preserve"> as the relationship with the existing worker may deteriorate further. Only if the request seems flippant or if there are repeated requests, should we hesitate to comply with a service user’s wishes. Before making the change, the manager should discuss the request with the worker to obtain as full a picture as possible; support the worker, if appropriate; and, if the worker was indeed unsatisfactory, initiate any other necessary action, </w:t>
      </w:r>
      <w:r w:rsidR="004336A1">
        <w:t>e.g.</w:t>
      </w:r>
      <w:r w:rsidRPr="003B3F95">
        <w:t xml:space="preserve"> further training, increased support or supervision, or, in serious cases, discipline. Subject to some discretion, the manager should confidentially brief the replacement worker on what happened. </w:t>
      </w:r>
    </w:p>
    <w:p w14:paraId="118B0D7C" w14:textId="0E74A8F8" w:rsidR="003B3F95" w:rsidRPr="003B3F95" w:rsidRDefault="003B3F95" w:rsidP="00B86675">
      <w:pPr>
        <w:pStyle w:val="WPHeading3"/>
      </w:pPr>
      <w:r w:rsidRPr="003B3F95">
        <w:t xml:space="preserve">A </w:t>
      </w:r>
      <w:r w:rsidR="004336A1" w:rsidRPr="003B3F95">
        <w:t>Non-Professional Relationship Has Developed</w:t>
      </w:r>
    </w:p>
    <w:p w14:paraId="1E90FAA2" w14:textId="3B588E5E" w:rsidR="003B3F95" w:rsidRPr="003B3F95" w:rsidRDefault="003B3F95" w:rsidP="00B86675">
      <w:pPr>
        <w:pStyle w:val="WPParagraph"/>
      </w:pPr>
      <w:r w:rsidRPr="003B3F95">
        <w:t>If a non-professional relationship has developed between a service user and a worker, it is usually necessary to act swiftly, but the service user should still be consulted as fully as possible about the replacement. The manager should then assess whether the incident should lead to further training, disciplinary or other action in respect of the worker and, subject to some discretion, should confidentially brief the replacement worker on what happened.</w:t>
      </w:r>
    </w:p>
    <w:p w14:paraId="3AEBCF40" w14:textId="6E873DA8" w:rsidR="003B3F95" w:rsidRPr="003B3F95" w:rsidRDefault="003B3F95" w:rsidP="00B86675">
      <w:pPr>
        <w:pStyle w:val="WPHeading3"/>
      </w:pPr>
      <w:r w:rsidRPr="003B3F95">
        <w:t xml:space="preserve">An </w:t>
      </w:r>
      <w:r w:rsidR="004336A1" w:rsidRPr="003B3F95">
        <w:t xml:space="preserve">Assignment Causes Severe Stress </w:t>
      </w:r>
      <w:r w:rsidR="004336A1">
        <w:t>f</w:t>
      </w:r>
      <w:r w:rsidR="004336A1" w:rsidRPr="003B3F95">
        <w:t xml:space="preserve">or </w:t>
      </w:r>
      <w:r w:rsidR="004336A1">
        <w:t>a</w:t>
      </w:r>
      <w:r w:rsidR="004336A1" w:rsidRPr="003B3F95">
        <w:t xml:space="preserve"> Worker</w:t>
      </w:r>
    </w:p>
    <w:p w14:paraId="037A9F26" w14:textId="77535CAF" w:rsidR="003B3F95" w:rsidRPr="003B3F95" w:rsidRDefault="003B3F95" w:rsidP="00B86675">
      <w:pPr>
        <w:pStyle w:val="WPParagraph"/>
      </w:pPr>
      <w:r w:rsidRPr="003B3F95">
        <w:t>If it is necessary to relieve a worker because of the stress the assignment generates, the situation should usually be anticipated and a carefully</w:t>
      </w:r>
      <w:r w:rsidR="00552F8C">
        <w:t xml:space="preserve"> </w:t>
      </w:r>
      <w:r w:rsidRPr="003B3F95">
        <w:t>planned replacement introduced with full consultation. The new worker should, of course, be confidentially briefed on what has happened and, if appropriate, be provided with additional support. Careful consideration should be given to the future workload and support needs of the worker replaced.</w:t>
      </w:r>
    </w:p>
    <w:p w14:paraId="12382091" w14:textId="32C669ED" w:rsidR="003B3F95" w:rsidRPr="003B3F95" w:rsidRDefault="003B3F95" w:rsidP="00B86675">
      <w:pPr>
        <w:pStyle w:val="WPHeading3"/>
      </w:pPr>
      <w:r w:rsidRPr="003B3F95">
        <w:t xml:space="preserve">Worker </w:t>
      </w:r>
      <w:r w:rsidR="004336A1" w:rsidRPr="003B3F95">
        <w:t xml:space="preserve">Suffers Abuse </w:t>
      </w:r>
      <w:r w:rsidR="004336A1">
        <w:t>o</w:t>
      </w:r>
      <w:r w:rsidR="004336A1" w:rsidRPr="003B3F95">
        <w:t>r Discrimination</w:t>
      </w:r>
    </w:p>
    <w:p w14:paraId="074774EA" w14:textId="3C99B35C" w:rsidR="00B944C2" w:rsidRPr="00B86675" w:rsidRDefault="003B3F95" w:rsidP="00B86675">
      <w:pPr>
        <w:pStyle w:val="WPParagraph"/>
        <w:rPr>
          <w:rFonts w:eastAsiaTheme="minorHAnsi"/>
          <w:lang w:eastAsia="en-US"/>
        </w:rPr>
      </w:pPr>
      <w:r w:rsidRPr="003B3F95">
        <w:t xml:space="preserve">If a worker suffers abuse or discrimination to an extent that they need to withdraw from a service user, the manager should thoroughly explore the situation and consider whether the organisation can continue to provide a service. If it is decided to continue, any replacement worker should be thoroughly briefed on the risks </w:t>
      </w:r>
      <w:r w:rsidR="004336A1">
        <w:t>of</w:t>
      </w:r>
      <w:r w:rsidRPr="003B3F95">
        <w:t xml:space="preserve"> the situation. The service user or their representative should still be consulted as fully as possible about the replacement, but they should be warned that any recurrence of the abuse or discrimination may prejudice the continuance of the service.</w:t>
      </w:r>
    </w:p>
    <w:p w14:paraId="3172AB02" w14:textId="1E109041" w:rsidR="003B3F95" w:rsidRPr="00B86675" w:rsidRDefault="00B14A79" w:rsidP="00B86675">
      <w:pPr>
        <w:pStyle w:val="WPHeading"/>
      </w:pPr>
      <w:bookmarkStart w:id="8" w:name="_Hlk527548380"/>
      <w:r w:rsidRPr="002E7BED">
        <w:t>Related Policies</w:t>
      </w:r>
    </w:p>
    <w:p w14:paraId="2A2C63EE" w14:textId="77777777" w:rsidR="00B81E3D" w:rsidRPr="00FA2A9F" w:rsidRDefault="00B81E3D" w:rsidP="00B81E3D">
      <w:pPr>
        <w:pStyle w:val="WPParagraph"/>
      </w:pPr>
      <w:r w:rsidRPr="00FA2A9F">
        <w:t>Business Contingency and Emergency Planning</w:t>
      </w:r>
    </w:p>
    <w:p w14:paraId="04027469" w14:textId="77777777" w:rsidR="00B81E3D" w:rsidRPr="00FA2A9F" w:rsidRDefault="00B81E3D" w:rsidP="00B81E3D">
      <w:pPr>
        <w:pStyle w:val="WPParagraph"/>
      </w:pPr>
      <w:r w:rsidRPr="00FA2A9F">
        <w:t>Confidentiality</w:t>
      </w:r>
    </w:p>
    <w:p w14:paraId="6D38968A" w14:textId="77777777" w:rsidR="00B81E3D" w:rsidRPr="00FA2A9F" w:rsidRDefault="00B81E3D" w:rsidP="00B81E3D">
      <w:pPr>
        <w:pStyle w:val="WPParagraph"/>
      </w:pPr>
      <w:r w:rsidRPr="00FA2A9F">
        <w:t>Data Protection Legislative Framework (UK GDPR)</w:t>
      </w:r>
    </w:p>
    <w:p w14:paraId="12701378" w14:textId="77777777" w:rsidR="003B3F95" w:rsidRPr="00FA2A9F" w:rsidRDefault="003B3F95" w:rsidP="00B86675">
      <w:pPr>
        <w:pStyle w:val="WPParagraph"/>
      </w:pPr>
      <w:r w:rsidRPr="00FA2A9F">
        <w:t>Dignity and Respect</w:t>
      </w:r>
    </w:p>
    <w:p w14:paraId="70A79578" w14:textId="77777777" w:rsidR="003B3F95" w:rsidRPr="00FA2A9F" w:rsidRDefault="003B3F95" w:rsidP="00B86675">
      <w:pPr>
        <w:pStyle w:val="WPParagraph"/>
      </w:pPr>
      <w:r w:rsidRPr="00FA2A9F">
        <w:t>Equality and Diversity</w:t>
      </w:r>
    </w:p>
    <w:p w14:paraId="681E033E" w14:textId="77777777" w:rsidR="003B3F95" w:rsidRPr="003B3F95" w:rsidRDefault="003B3F95" w:rsidP="00B86675">
      <w:pPr>
        <w:pStyle w:val="WPParagraph"/>
      </w:pPr>
      <w:r w:rsidRPr="003B3F95">
        <w:lastRenderedPageBreak/>
        <w:t>Meeting Needs</w:t>
      </w:r>
    </w:p>
    <w:p w14:paraId="7880B2AB" w14:textId="77777777" w:rsidR="00CB2D60" w:rsidRDefault="003B3F95" w:rsidP="00B86675">
      <w:pPr>
        <w:pStyle w:val="WPParagraph"/>
      </w:pPr>
      <w:r w:rsidRPr="003B3F95">
        <w:t>Responsive Services</w:t>
      </w:r>
      <w:bookmarkEnd w:id="8"/>
    </w:p>
    <w:p w14:paraId="2234A574" w14:textId="77777777" w:rsidR="00CB2D60" w:rsidRDefault="00CB2D60" w:rsidP="00CB2D60">
      <w:pPr>
        <w:rPr>
          <w:rFonts w:ascii="Arial" w:eastAsia="HGGothicM" w:hAnsi="Arial" w:cs="Arial"/>
          <w:b/>
          <w:bCs/>
          <w:color w:val="365F91" w:themeColor="accent1" w:themeShade="BF"/>
          <w:sz w:val="24"/>
          <w:szCs w:val="24"/>
          <w:lang w:bidi="en-US"/>
        </w:rPr>
      </w:pPr>
    </w:p>
    <w:p w14:paraId="01240321" w14:textId="77777777" w:rsidR="00CB2D60" w:rsidRDefault="00171F5E" w:rsidP="00B86675">
      <w:pPr>
        <w:pStyle w:val="WPHeading"/>
      </w:pPr>
      <w:r w:rsidRPr="002E7BED">
        <w:t xml:space="preserve">Related </w:t>
      </w:r>
      <w:r>
        <w:t>Guidance</w:t>
      </w:r>
    </w:p>
    <w:p w14:paraId="48ED051A" w14:textId="274B96FB" w:rsidR="00A530AA" w:rsidRDefault="00A730D6" w:rsidP="00B86675">
      <w:pPr>
        <w:pStyle w:val="WPParagraph"/>
        <w:rPr>
          <w:rFonts w:eastAsia="HGGothicM"/>
          <w:bCs/>
          <w:lang w:bidi="en-US"/>
        </w:rPr>
      </w:pPr>
      <w:r w:rsidRPr="0046457D">
        <w:rPr>
          <w:rFonts w:eastAsia="HGGothicM"/>
          <w:bCs/>
          <w:lang w:bidi="en-US"/>
        </w:rPr>
        <w:t>CQC</w:t>
      </w:r>
      <w:r>
        <w:rPr>
          <w:rFonts w:eastAsia="HGGothicM"/>
          <w:bCs/>
          <w:lang w:bidi="en-US"/>
        </w:rPr>
        <w:t xml:space="preserve"> Key Lines of En</w:t>
      </w:r>
      <w:r w:rsidR="00552F8C">
        <w:rPr>
          <w:rFonts w:eastAsia="HGGothicM"/>
          <w:bCs/>
          <w:lang w:bidi="en-US"/>
        </w:rPr>
        <w:t>q</w:t>
      </w:r>
      <w:r>
        <w:rPr>
          <w:rFonts w:eastAsia="HGGothicM"/>
          <w:bCs/>
          <w:lang w:bidi="en-US"/>
        </w:rPr>
        <w:t>uiry for Adult Social Care Services:</w:t>
      </w:r>
    </w:p>
    <w:p w14:paraId="1CA3DB7C" w14:textId="1A805942" w:rsidR="00A730D6" w:rsidRPr="00A730D6" w:rsidRDefault="00000000" w:rsidP="00B86675">
      <w:pPr>
        <w:pStyle w:val="WPParagraph"/>
        <w:rPr>
          <w:rFonts w:eastAsia="HGGothicM"/>
          <w:bCs/>
          <w:color w:val="365F91" w:themeColor="accent1" w:themeShade="BF"/>
          <w:lang w:bidi="en-US"/>
        </w:rPr>
      </w:pPr>
      <w:hyperlink r:id="rId13" w:history="1">
        <w:r w:rsidR="00A730D6" w:rsidRPr="00730E5C">
          <w:rPr>
            <w:rStyle w:val="Hyperlink"/>
            <w:rFonts w:eastAsia="HGGothicM"/>
            <w:bCs/>
            <w:lang w:bidi="en-US"/>
          </w:rPr>
          <w:t>https://www.cqc.org.uk/guidance-providers/adult-social-care/key-lines-enquiry-adult-social-care-services</w:t>
        </w:r>
      </w:hyperlink>
    </w:p>
    <w:p w14:paraId="6C378C93" w14:textId="77777777" w:rsidR="00A530AA" w:rsidRDefault="003B3F95" w:rsidP="00B86675">
      <w:pPr>
        <w:pStyle w:val="WPParagraph"/>
        <w:rPr>
          <w:rFonts w:eastAsia="HGGothicM"/>
          <w:bCs/>
          <w:lang w:bidi="en-US"/>
        </w:rPr>
      </w:pPr>
      <w:r w:rsidRPr="0046457D">
        <w:rPr>
          <w:rFonts w:eastAsia="HGGothicM"/>
          <w:bCs/>
          <w:lang w:bidi="en-US"/>
        </w:rPr>
        <w:t>CQC Adult Social Care Key Lines of Enquiry and Prompts</w:t>
      </w:r>
      <w:r w:rsidR="00A730D6">
        <w:rPr>
          <w:rFonts w:eastAsia="HGGothicM"/>
          <w:bCs/>
          <w:lang w:bidi="en-US"/>
        </w:rPr>
        <w:t>: Source of Evidence:</w:t>
      </w:r>
    </w:p>
    <w:p w14:paraId="73F3D6A9" w14:textId="6975EDFA" w:rsidR="00CB2D60" w:rsidRDefault="00000000" w:rsidP="00B86675">
      <w:pPr>
        <w:pStyle w:val="WPParagraph"/>
        <w:rPr>
          <w:rFonts w:eastAsia="HGGothicM"/>
          <w:bCs/>
          <w:color w:val="FF0000"/>
          <w:lang w:bidi="en-US"/>
        </w:rPr>
      </w:pPr>
      <w:hyperlink r:id="rId14" w:history="1">
        <w:r w:rsidR="00A730D6" w:rsidRPr="00A736D2">
          <w:rPr>
            <w:rStyle w:val="Hyperlink"/>
            <w:rFonts w:eastAsia="HGGothicM"/>
            <w:bCs/>
            <w:lang w:bidi="en-US"/>
          </w:rPr>
          <w:t>https://www.cqc.org.uk/sites/default/files/20180530%209001095%20ASC%20assessment%20framework%20with%20sources%20of%20evidence%20v4%2000.pdf</w:t>
        </w:r>
      </w:hyperlink>
      <w:r w:rsidR="003B3F95" w:rsidRPr="00730E5C">
        <w:rPr>
          <w:rFonts w:eastAsia="HGGothicM"/>
          <w:bCs/>
          <w:color w:val="FF0000"/>
          <w:lang w:bidi="en-US"/>
        </w:rPr>
        <w:t xml:space="preserve"> </w:t>
      </w:r>
    </w:p>
    <w:p w14:paraId="0E39EB7B" w14:textId="4E11254B" w:rsidR="00171F5E" w:rsidRDefault="009A722E" w:rsidP="00B86675">
      <w:pPr>
        <w:pStyle w:val="WPHeading"/>
      </w:pPr>
      <w:r>
        <w:br/>
      </w:r>
      <w:r w:rsidR="00171F5E" w:rsidRPr="00513C46">
        <w:t>Training Statement</w:t>
      </w:r>
    </w:p>
    <w:p w14:paraId="1FCEE8D5" w14:textId="61CFC187" w:rsidR="00B86675" w:rsidRDefault="00B86675" w:rsidP="00B86675">
      <w:pPr>
        <w:pStyle w:val="Paragraph"/>
        <w:jc w:val="left"/>
        <w:rPr>
          <w:rFonts w:eastAsia="HGGothicM"/>
          <w:b/>
        </w:rPr>
      </w:pPr>
      <w:bookmarkStart w:id="9" w:name="_Hlk529282654"/>
      <w:bookmarkStart w:id="10"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E</w:t>
      </w:r>
      <w:r w:rsidRPr="000A1D64">
        <w:rPr>
          <w:rFonts w:eastAsia="HGGothicM"/>
        </w:rPr>
        <w:t>xternal courses are sourced as required.</w:t>
      </w:r>
      <w:r w:rsidRPr="000A1D64">
        <w:rPr>
          <w:rFonts w:eastAsia="HGGothicM"/>
          <w:b/>
        </w:rPr>
        <w:t xml:space="preserve"> </w:t>
      </w:r>
      <w:bookmarkStart w:id="11" w:name="_Hlk527038464"/>
      <w:bookmarkEnd w:id="9"/>
      <w:bookmarkEnd w:id="10"/>
    </w:p>
    <w:p w14:paraId="6DF7A131" w14:textId="052A9D8E" w:rsidR="00B86675" w:rsidRDefault="00B86675" w:rsidP="00B86675">
      <w:pPr>
        <w:pStyle w:val="Paragraph"/>
        <w:jc w:val="left"/>
        <w:rPr>
          <w:rFonts w:eastAsia="HGGothicM"/>
          <w:b/>
        </w:rPr>
      </w:pPr>
    </w:p>
    <w:p w14:paraId="4AF29519" w14:textId="66EB6068" w:rsidR="002C721E" w:rsidRDefault="006107D7" w:rsidP="002C721E">
      <w:pPr>
        <w:pStyle w:val="WPParagraph"/>
      </w:pPr>
      <w:r>
        <w:t>Date Reviewed: May 2023</w:t>
      </w:r>
    </w:p>
    <w:p w14:paraId="574EB80C" w14:textId="3DBA8A91" w:rsidR="002C721E" w:rsidRDefault="002C721E" w:rsidP="002C721E">
      <w:pPr>
        <w:pStyle w:val="WPParagraph"/>
      </w:pPr>
      <w:r>
        <w:t>Person responsible for updating this policy:</w:t>
      </w:r>
      <w:r w:rsidR="00D72C46" w:rsidRPr="00D72C46">
        <w:rPr>
          <w:b/>
          <w:bCs/>
        </w:rPr>
        <w:t xml:space="preserve"> </w:t>
      </w:r>
      <w:r w:rsidR="00D72C46">
        <w:rPr>
          <w:b/>
          <w:bCs/>
        </w:rPr>
        <w:t>IFEYINWA ODOEMENAM</w:t>
      </w:r>
    </w:p>
    <w:p w14:paraId="01F787A5" w14:textId="62846E37" w:rsidR="002C721E" w:rsidRDefault="006107D7" w:rsidP="002C721E">
      <w:pPr>
        <w:pStyle w:val="WPParagraph"/>
      </w:pPr>
      <w:r>
        <w:t>Next Review Date: May 2024</w:t>
      </w:r>
    </w:p>
    <w:p w14:paraId="189CF9AC" w14:textId="77777777" w:rsidR="002C721E" w:rsidRDefault="002C721E" w:rsidP="00B86675">
      <w:pPr>
        <w:pStyle w:val="Paragraph"/>
        <w:jc w:val="left"/>
        <w:rPr>
          <w:rFonts w:eastAsia="HGGothicM"/>
          <w:b/>
        </w:rPr>
      </w:pPr>
    </w:p>
    <w:bookmarkEnd w:id="11"/>
    <w:p w14:paraId="5CC23AE6" w14:textId="68765EF8" w:rsidR="00B7150E" w:rsidRPr="00213EAC" w:rsidRDefault="00B7150E">
      <w:pPr>
        <w:spacing w:after="160" w:line="259" w:lineRule="auto"/>
        <w:ind w:left="360"/>
        <w:jc w:val="both"/>
        <w:rPr>
          <w:rFonts w:ascii="Arial" w:eastAsia="Calibri" w:hAnsi="Arial" w:cs="Arial"/>
          <w:sz w:val="24"/>
          <w:szCs w:val="24"/>
          <w:lang w:val="en-GB"/>
        </w:rPr>
      </w:pPr>
    </w:p>
    <w:sectPr w:rsidR="00B7150E" w:rsidRPr="00213EA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0732" w14:textId="77777777" w:rsidR="00880948" w:rsidRDefault="00880948" w:rsidP="00815DED">
      <w:pPr>
        <w:spacing w:after="0" w:line="240" w:lineRule="auto"/>
      </w:pPr>
      <w:r>
        <w:separator/>
      </w:r>
    </w:p>
  </w:endnote>
  <w:endnote w:type="continuationSeparator" w:id="0">
    <w:p w14:paraId="15097639" w14:textId="77777777" w:rsidR="00880948" w:rsidRDefault="00880948"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0B59" w14:textId="77777777" w:rsidR="00E14FFA" w:rsidRDefault="00E14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3B2" w14:textId="77777777" w:rsidR="00E14FFA" w:rsidRDefault="00E14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418E" w14:textId="77777777" w:rsidR="00E14FFA" w:rsidRDefault="00E14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BB99" w14:textId="77777777" w:rsidR="00880948" w:rsidRDefault="00880948" w:rsidP="00815DED">
      <w:pPr>
        <w:spacing w:after="0" w:line="240" w:lineRule="auto"/>
      </w:pPr>
      <w:r>
        <w:separator/>
      </w:r>
    </w:p>
  </w:footnote>
  <w:footnote w:type="continuationSeparator" w:id="0">
    <w:p w14:paraId="1AA5A067" w14:textId="77777777" w:rsidR="00880948" w:rsidRDefault="00880948"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F3D5" w14:textId="77777777" w:rsidR="00E14FFA" w:rsidRDefault="00E14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AEFB" w14:textId="77777777" w:rsidR="00E14FFA" w:rsidRDefault="00E14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FE98" w14:textId="77777777" w:rsidR="00E14FFA" w:rsidRDefault="00E14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A71"/>
    <w:multiLevelType w:val="multilevel"/>
    <w:tmpl w:val="ECD40DC8"/>
    <w:lvl w:ilvl="0">
      <w:start w:val="1"/>
      <w:numFmt w:val="bullet"/>
      <w:pStyle w:val="WP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B3378"/>
    <w:multiLevelType w:val="hybridMultilevel"/>
    <w:tmpl w:val="F62C8878"/>
    <w:lvl w:ilvl="0" w:tplc="F9BEAED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96E29"/>
    <w:multiLevelType w:val="hybridMultilevel"/>
    <w:tmpl w:val="B5ECBA30"/>
    <w:lvl w:ilvl="0" w:tplc="67663B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87F90"/>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FB799C"/>
    <w:multiLevelType w:val="hybridMultilevel"/>
    <w:tmpl w:val="7372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4681F"/>
    <w:multiLevelType w:val="multilevel"/>
    <w:tmpl w:val="BE3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398885">
    <w:abstractNumId w:val="1"/>
  </w:num>
  <w:num w:numId="2" w16cid:durableId="2013559676">
    <w:abstractNumId w:val="0"/>
  </w:num>
  <w:num w:numId="3" w16cid:durableId="1513836616">
    <w:abstractNumId w:val="3"/>
  </w:num>
  <w:num w:numId="4" w16cid:durableId="2143159153">
    <w:abstractNumId w:val="2"/>
  </w:num>
  <w:num w:numId="5" w16cid:durableId="394553226">
    <w:abstractNumId w:val="4"/>
  </w:num>
  <w:num w:numId="6" w16cid:durableId="921795664">
    <w:abstractNumId w:val="5"/>
  </w:num>
  <w:num w:numId="7" w16cid:durableId="1610697835">
    <w:abstractNumId w:val="5"/>
  </w:num>
  <w:num w:numId="8" w16cid:durableId="214434403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DU2MzExMTcxMzBS0lEKTi0uzszPAykwrAUAdZN7ICwAAAA="/>
  </w:docVars>
  <w:rsids>
    <w:rsidRoot w:val="00B14A79"/>
    <w:rsid w:val="00044FA8"/>
    <w:rsid w:val="000508FE"/>
    <w:rsid w:val="000912FA"/>
    <w:rsid w:val="000A78A2"/>
    <w:rsid w:val="000B62E7"/>
    <w:rsid w:val="00102BCE"/>
    <w:rsid w:val="00102C21"/>
    <w:rsid w:val="00107F3C"/>
    <w:rsid w:val="0012003A"/>
    <w:rsid w:val="001306FA"/>
    <w:rsid w:val="00130784"/>
    <w:rsid w:val="001400F3"/>
    <w:rsid w:val="00151C15"/>
    <w:rsid w:val="0015618E"/>
    <w:rsid w:val="00170EA6"/>
    <w:rsid w:val="00171F21"/>
    <w:rsid w:val="00171F5E"/>
    <w:rsid w:val="0017673F"/>
    <w:rsid w:val="00184161"/>
    <w:rsid w:val="00190F90"/>
    <w:rsid w:val="001A77C9"/>
    <w:rsid w:val="001C2CEF"/>
    <w:rsid w:val="001C4E2E"/>
    <w:rsid w:val="001E569C"/>
    <w:rsid w:val="001F10B8"/>
    <w:rsid w:val="001F6BE2"/>
    <w:rsid w:val="00213EAC"/>
    <w:rsid w:val="002144EA"/>
    <w:rsid w:val="00214C1D"/>
    <w:rsid w:val="0021676D"/>
    <w:rsid w:val="00217E09"/>
    <w:rsid w:val="00220017"/>
    <w:rsid w:val="002254C6"/>
    <w:rsid w:val="0023341D"/>
    <w:rsid w:val="002704CE"/>
    <w:rsid w:val="00272638"/>
    <w:rsid w:val="0028436C"/>
    <w:rsid w:val="002A5B90"/>
    <w:rsid w:val="002B3B32"/>
    <w:rsid w:val="002B3DB3"/>
    <w:rsid w:val="002C0981"/>
    <w:rsid w:val="002C721E"/>
    <w:rsid w:val="002D1A16"/>
    <w:rsid w:val="002E7BED"/>
    <w:rsid w:val="002F5880"/>
    <w:rsid w:val="00307FD1"/>
    <w:rsid w:val="003613E9"/>
    <w:rsid w:val="00367A62"/>
    <w:rsid w:val="00384C73"/>
    <w:rsid w:val="003914D3"/>
    <w:rsid w:val="003B0E60"/>
    <w:rsid w:val="003B3F95"/>
    <w:rsid w:val="003C26D4"/>
    <w:rsid w:val="003D4883"/>
    <w:rsid w:val="003F2D6D"/>
    <w:rsid w:val="00410DEF"/>
    <w:rsid w:val="00416D23"/>
    <w:rsid w:val="004204C8"/>
    <w:rsid w:val="004336A1"/>
    <w:rsid w:val="004504C7"/>
    <w:rsid w:val="004567D9"/>
    <w:rsid w:val="00460527"/>
    <w:rsid w:val="0046457D"/>
    <w:rsid w:val="00474D5E"/>
    <w:rsid w:val="004751AF"/>
    <w:rsid w:val="004C5B75"/>
    <w:rsid w:val="004D6BBE"/>
    <w:rsid w:val="004F3D5C"/>
    <w:rsid w:val="0050013C"/>
    <w:rsid w:val="00513C46"/>
    <w:rsid w:val="00514D6C"/>
    <w:rsid w:val="00526938"/>
    <w:rsid w:val="00526E58"/>
    <w:rsid w:val="00552F8C"/>
    <w:rsid w:val="0058142B"/>
    <w:rsid w:val="00592E41"/>
    <w:rsid w:val="005B0B0D"/>
    <w:rsid w:val="005D75B8"/>
    <w:rsid w:val="00604F85"/>
    <w:rsid w:val="006107D7"/>
    <w:rsid w:val="00615B25"/>
    <w:rsid w:val="00620F67"/>
    <w:rsid w:val="006720EA"/>
    <w:rsid w:val="00672E2A"/>
    <w:rsid w:val="006751B3"/>
    <w:rsid w:val="007003F0"/>
    <w:rsid w:val="0071593C"/>
    <w:rsid w:val="00716270"/>
    <w:rsid w:val="00727476"/>
    <w:rsid w:val="0074295C"/>
    <w:rsid w:val="007444D4"/>
    <w:rsid w:val="00750926"/>
    <w:rsid w:val="00773D22"/>
    <w:rsid w:val="00790995"/>
    <w:rsid w:val="00795779"/>
    <w:rsid w:val="00797737"/>
    <w:rsid w:val="007A2D09"/>
    <w:rsid w:val="007B431E"/>
    <w:rsid w:val="007D0C83"/>
    <w:rsid w:val="007D22C6"/>
    <w:rsid w:val="007E24D0"/>
    <w:rsid w:val="007E2C3A"/>
    <w:rsid w:val="007F69DB"/>
    <w:rsid w:val="00815DED"/>
    <w:rsid w:val="008243B2"/>
    <w:rsid w:val="008304D2"/>
    <w:rsid w:val="0083495E"/>
    <w:rsid w:val="00837102"/>
    <w:rsid w:val="00844A91"/>
    <w:rsid w:val="00851911"/>
    <w:rsid w:val="008657B1"/>
    <w:rsid w:val="00865E53"/>
    <w:rsid w:val="00880948"/>
    <w:rsid w:val="00881FAA"/>
    <w:rsid w:val="008826A7"/>
    <w:rsid w:val="008A40E8"/>
    <w:rsid w:val="008B09F5"/>
    <w:rsid w:val="008B5BDF"/>
    <w:rsid w:val="008C5DD6"/>
    <w:rsid w:val="008E139C"/>
    <w:rsid w:val="008F5B0A"/>
    <w:rsid w:val="009236E8"/>
    <w:rsid w:val="009254DA"/>
    <w:rsid w:val="00931DF0"/>
    <w:rsid w:val="00953B22"/>
    <w:rsid w:val="00954464"/>
    <w:rsid w:val="00962E1E"/>
    <w:rsid w:val="0098221D"/>
    <w:rsid w:val="00992B06"/>
    <w:rsid w:val="009A722E"/>
    <w:rsid w:val="009B5514"/>
    <w:rsid w:val="009C4342"/>
    <w:rsid w:val="009E26CB"/>
    <w:rsid w:val="009E2A8C"/>
    <w:rsid w:val="009E7655"/>
    <w:rsid w:val="00A144CA"/>
    <w:rsid w:val="00A3105C"/>
    <w:rsid w:val="00A5173D"/>
    <w:rsid w:val="00A530AA"/>
    <w:rsid w:val="00A57EE6"/>
    <w:rsid w:val="00A61A71"/>
    <w:rsid w:val="00A70EB8"/>
    <w:rsid w:val="00A730D6"/>
    <w:rsid w:val="00A83F4E"/>
    <w:rsid w:val="00A9522B"/>
    <w:rsid w:val="00AC322B"/>
    <w:rsid w:val="00AE0D8F"/>
    <w:rsid w:val="00B00A75"/>
    <w:rsid w:val="00B017F7"/>
    <w:rsid w:val="00B026A1"/>
    <w:rsid w:val="00B0703B"/>
    <w:rsid w:val="00B1098C"/>
    <w:rsid w:val="00B1231C"/>
    <w:rsid w:val="00B14A79"/>
    <w:rsid w:val="00B31113"/>
    <w:rsid w:val="00B37497"/>
    <w:rsid w:val="00B619B2"/>
    <w:rsid w:val="00B7150E"/>
    <w:rsid w:val="00B81E3D"/>
    <w:rsid w:val="00B86675"/>
    <w:rsid w:val="00B944C2"/>
    <w:rsid w:val="00B95E1D"/>
    <w:rsid w:val="00BA534B"/>
    <w:rsid w:val="00BB4E84"/>
    <w:rsid w:val="00BC7A70"/>
    <w:rsid w:val="00BD13D7"/>
    <w:rsid w:val="00C25DB5"/>
    <w:rsid w:val="00C46112"/>
    <w:rsid w:val="00C65EEA"/>
    <w:rsid w:val="00C755EA"/>
    <w:rsid w:val="00C946A3"/>
    <w:rsid w:val="00CA4883"/>
    <w:rsid w:val="00CB2D60"/>
    <w:rsid w:val="00CC38D5"/>
    <w:rsid w:val="00CC4F50"/>
    <w:rsid w:val="00CD3839"/>
    <w:rsid w:val="00CE53AF"/>
    <w:rsid w:val="00D3410A"/>
    <w:rsid w:val="00D36979"/>
    <w:rsid w:val="00D36BEE"/>
    <w:rsid w:val="00D6102D"/>
    <w:rsid w:val="00D72C46"/>
    <w:rsid w:val="00D82B0A"/>
    <w:rsid w:val="00D838E2"/>
    <w:rsid w:val="00DB199D"/>
    <w:rsid w:val="00DE2AB6"/>
    <w:rsid w:val="00E1155C"/>
    <w:rsid w:val="00E14FFA"/>
    <w:rsid w:val="00E16EA0"/>
    <w:rsid w:val="00E35C88"/>
    <w:rsid w:val="00E370B6"/>
    <w:rsid w:val="00E44056"/>
    <w:rsid w:val="00E63881"/>
    <w:rsid w:val="00E64EED"/>
    <w:rsid w:val="00E70CC1"/>
    <w:rsid w:val="00E7211F"/>
    <w:rsid w:val="00E80ADC"/>
    <w:rsid w:val="00E87E1C"/>
    <w:rsid w:val="00EB0324"/>
    <w:rsid w:val="00ED2130"/>
    <w:rsid w:val="00EE10DC"/>
    <w:rsid w:val="00EE173D"/>
    <w:rsid w:val="00F103C2"/>
    <w:rsid w:val="00F17936"/>
    <w:rsid w:val="00F37840"/>
    <w:rsid w:val="00F4443F"/>
    <w:rsid w:val="00F563EA"/>
    <w:rsid w:val="00F57767"/>
    <w:rsid w:val="00F60FD7"/>
    <w:rsid w:val="00F708D5"/>
    <w:rsid w:val="00F86B74"/>
    <w:rsid w:val="00F90B89"/>
    <w:rsid w:val="00F92E3B"/>
    <w:rsid w:val="00FA2A9F"/>
    <w:rsid w:val="00FB521E"/>
    <w:rsid w:val="00FC2721"/>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paragraph" w:customStyle="1" w:styleId="WPBullet">
    <w:name w:val="W&amp;P Bullet"/>
    <w:basedOn w:val="Normal"/>
    <w:qFormat/>
    <w:rsid w:val="00B86675"/>
    <w:pPr>
      <w:numPr>
        <w:numId w:val="2"/>
      </w:numPr>
      <w:spacing w:before="120" w:line="23" w:lineRule="atLeast"/>
      <w:ind w:left="360"/>
      <w:contextualSpacing/>
    </w:pPr>
    <w:rPr>
      <w:rFonts w:ascii="Arial" w:eastAsia="Times New Roman" w:hAnsi="Arial" w:cs="Arial"/>
      <w:sz w:val="24"/>
      <w:szCs w:val="24"/>
      <w:lang w:val="en-GB" w:eastAsia="sk-SK"/>
    </w:rPr>
  </w:style>
  <w:style w:type="paragraph" w:customStyle="1" w:styleId="WPHeading">
    <w:name w:val="W&amp;P Heading"/>
    <w:basedOn w:val="Heading1"/>
    <w:qFormat/>
    <w:rsid w:val="00B86675"/>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Paragraph">
    <w:name w:val="W&amp;P Paragraph"/>
    <w:basedOn w:val="Normal"/>
    <w:qFormat/>
    <w:rsid w:val="00B86675"/>
    <w:pPr>
      <w:spacing w:before="120" w:line="23" w:lineRule="atLeast"/>
    </w:pPr>
    <w:rPr>
      <w:rFonts w:ascii="Arial" w:eastAsia="Times New Roman" w:hAnsi="Arial" w:cs="Arial"/>
      <w:noProof/>
      <w:sz w:val="24"/>
      <w:szCs w:val="24"/>
      <w:lang w:val="en-GB" w:eastAsia="sk-SK"/>
    </w:rPr>
  </w:style>
  <w:style w:type="paragraph" w:customStyle="1" w:styleId="WPHeading2">
    <w:name w:val="W&amp;P Heading 2"/>
    <w:basedOn w:val="WPHeading"/>
    <w:qFormat/>
    <w:rsid w:val="00B86675"/>
    <w:rPr>
      <w:color w:val="auto"/>
    </w:rPr>
  </w:style>
  <w:style w:type="paragraph" w:customStyle="1" w:styleId="WPHeading3">
    <w:name w:val="W&amp;P Heading 3"/>
    <w:basedOn w:val="WPHeading2"/>
    <w:qFormat/>
    <w:rsid w:val="00B86675"/>
    <w:rPr>
      <w:i/>
    </w:rPr>
  </w:style>
  <w:style w:type="paragraph" w:customStyle="1" w:styleId="Paragraph">
    <w:name w:val="Paragraph"/>
    <w:basedOn w:val="Normal"/>
    <w:qFormat/>
    <w:rsid w:val="00B86675"/>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989480999">
      <w:bodyDiv w:val="1"/>
      <w:marLeft w:val="0"/>
      <w:marRight w:val="0"/>
      <w:marTop w:val="0"/>
      <w:marBottom w:val="0"/>
      <w:divBdr>
        <w:top w:val="none" w:sz="0" w:space="0" w:color="auto"/>
        <w:left w:val="none" w:sz="0" w:space="0" w:color="auto"/>
        <w:bottom w:val="none" w:sz="0" w:space="0" w:color="auto"/>
        <w:right w:val="none" w:sz="0" w:space="0" w:color="auto"/>
      </w:divBdr>
    </w:div>
    <w:div w:id="1364015671">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427186277">
      <w:bodyDiv w:val="1"/>
      <w:marLeft w:val="0"/>
      <w:marRight w:val="0"/>
      <w:marTop w:val="0"/>
      <w:marBottom w:val="0"/>
      <w:divBdr>
        <w:top w:val="none" w:sz="0" w:space="0" w:color="auto"/>
        <w:left w:val="none" w:sz="0" w:space="0" w:color="auto"/>
        <w:bottom w:val="none" w:sz="0" w:space="0" w:color="auto"/>
        <w:right w:val="none" w:sz="0" w:space="0" w:color="auto"/>
      </w:divBdr>
    </w:div>
    <w:div w:id="1499661000">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DKHXZA7SSHQN-167323429-701406</_dlc_DocId>
    <_dlc_DocIdUrl xmlns="9daa91de-cd2d-4d57-bbd1-50f17b14a644">
      <Url>https://wandpassessment.sharepoint.com/sites/Data/_layouts/15/DocIdRedir.aspx?ID=DKHXZA7SSHQN-167323429-701406</Url>
      <Description>DKHXZA7SSHQN-167323429-701406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D1894-1400-4B10-B0C7-B5AE3DB033E4}">
  <ds:schemaRefs>
    <ds:schemaRef ds:uri="http://schemas.openxmlformats.org/officeDocument/2006/bibliography"/>
  </ds:schemaRefs>
</ds:datastoreItem>
</file>

<file path=customXml/itemProps2.xml><?xml version="1.0" encoding="utf-8"?>
<ds:datastoreItem xmlns:ds="http://schemas.openxmlformats.org/officeDocument/2006/customXml" ds:itemID="{14D0B8D3-028A-45B1-9460-7661853EBD8C}">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7C1837A0-5B6C-4B9E-907D-2D1E93B70F05}">
  <ds:schemaRefs>
    <ds:schemaRef ds:uri="http://schemas.microsoft.com/sharepoint/v3/contenttype/forms"/>
  </ds:schemaRefs>
</ds:datastoreItem>
</file>

<file path=customXml/itemProps4.xml><?xml version="1.0" encoding="utf-8"?>
<ds:datastoreItem xmlns:ds="http://schemas.openxmlformats.org/officeDocument/2006/customXml" ds:itemID="{0F5CF577-BDDE-4351-BD25-5F8D6A204B13}">
  <ds:schemaRefs>
    <ds:schemaRef ds:uri="http://schemas.microsoft.com/sharepoint/events"/>
  </ds:schemaRefs>
</ds:datastoreItem>
</file>

<file path=customXml/itemProps5.xml><?xml version="1.0" encoding="utf-8"?>
<ds:datastoreItem xmlns:ds="http://schemas.openxmlformats.org/officeDocument/2006/customXml" ds:itemID="{4E60982E-A605-4AD8-A958-F46254C1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3</cp:revision>
  <dcterms:created xsi:type="dcterms:W3CDTF">2023-07-26T13:28:00Z</dcterms:created>
  <dcterms:modified xsi:type="dcterms:W3CDTF">2023-08-31T15:54:00Z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5563200</vt:r8>
  </property>
  <property fmtid="{D5CDD505-2E9C-101B-9397-08002B2CF9AE}" pid="4" name="_dlc_DocIdItemGuid">
    <vt:lpwstr>09d28610-9917-487f-899a-88ab86caf1a4</vt:lpwstr>
  </property>
  <property fmtid="{D5CDD505-2E9C-101B-9397-08002B2CF9AE}" pid="5" name="MediaServiceImageTags">
    <vt:lpwstr/>
  </property>
  <property fmtid="{D5CDD505-2E9C-101B-9397-08002B2CF9AE}" pid="6" name="GrammarlyDocumentId">
    <vt:lpwstr>715387c65a031e18ddbd588e63d538955222aa50d0ebf36a316efb3fc9b3ebb1</vt:lpwstr>
  </property>
</Properties>
</file>