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C289" w14:textId="77777777" w:rsidR="000D1807" w:rsidRDefault="00B0241D" w:rsidP="00B0241D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8"/>
          <w:szCs w:val="28"/>
          <w:lang w:val="en-GB"/>
        </w:rPr>
      </w:pPr>
      <w:bookmarkStart w:id="0" w:name="CooperatingWithOtherProviders"/>
      <w:bookmarkEnd w:id="0"/>
      <w:r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br/>
      </w:r>
    </w:p>
    <w:p w14:paraId="32F177A9" w14:textId="77777777" w:rsidR="000D1807" w:rsidRDefault="000D1807" w:rsidP="00B0241D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8"/>
          <w:szCs w:val="28"/>
          <w:lang w:val="en-GB"/>
        </w:rPr>
      </w:pPr>
    </w:p>
    <w:p w14:paraId="70926FAE" w14:textId="2301D588" w:rsidR="000D1807" w:rsidRDefault="000D1807" w:rsidP="000D1807">
      <w:pPr>
        <w:tabs>
          <w:tab w:val="center" w:pos="4320"/>
          <w:tab w:val="right" w:pos="8640"/>
        </w:tabs>
        <w:spacing w:after="0" w:line="240" w:lineRule="auto"/>
        <w:rPr>
          <w:rFonts w:ascii="Gill Sans MT" w:eastAsia="Times New Roman" w:hAnsi="Gill Sans MT" w:cs="Times New Roman"/>
          <w:b/>
          <w:bCs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31E107" wp14:editId="469025AA">
            <wp:simplePos x="0" y="0"/>
            <wp:positionH relativeFrom="column">
              <wp:posOffset>-588645</wp:posOffset>
            </wp:positionH>
            <wp:positionV relativeFrom="paragraph">
              <wp:posOffset>0</wp:posOffset>
            </wp:positionV>
            <wp:extent cx="721995" cy="441960"/>
            <wp:effectExtent l="0" t="0" r="1905" b="0"/>
            <wp:wrapThrough wrapText="bothSides">
              <wp:wrapPolygon edited="0">
                <wp:start x="9119" y="0"/>
                <wp:lineTo x="2280" y="931"/>
                <wp:lineTo x="0" y="9310"/>
                <wp:lineTo x="570" y="16759"/>
                <wp:lineTo x="6839" y="20483"/>
                <wp:lineTo x="9119" y="20483"/>
                <wp:lineTo x="11968" y="20483"/>
                <wp:lineTo x="14248" y="20483"/>
                <wp:lineTo x="20517" y="15828"/>
                <wp:lineTo x="21087" y="10241"/>
                <wp:lineTo x="19377" y="1862"/>
                <wp:lineTo x="11968" y="0"/>
                <wp:lineTo x="9119" y="0"/>
              </wp:wrapPolygon>
            </wp:wrapThrough>
            <wp:docPr id="995176321" name="Picture 2" descr="A rainbow colored swirl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176321" name="Picture 2" descr="A rainbow colored swirly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Times New Roman" w:hAnsi="Arial Black" w:cs="Arial"/>
          <w:color w:val="FF0000"/>
          <w:sz w:val="32"/>
          <w:szCs w:val="32"/>
        </w:rPr>
        <w:t xml:space="preserve"> </w:t>
      </w:r>
      <w:r>
        <w:rPr>
          <w:rFonts w:ascii="Gill Sans MT" w:eastAsia="Times New Roman" w:hAnsi="Gill Sans MT" w:cs="Times New Roman"/>
          <w:b/>
          <w:bCs/>
          <w:color w:val="FF0000"/>
          <w:sz w:val="36"/>
          <w:szCs w:val="36"/>
          <w:lang w:val="en-GB"/>
        </w:rPr>
        <w:t>Promise Care Services Ltd</w:t>
      </w:r>
      <w:r>
        <w:rPr>
          <w:rFonts w:ascii="Gill Sans MT" w:eastAsia="Times New Roman" w:hAnsi="Gill Sans MT" w:cs="Times New Roman"/>
          <w:b/>
          <w:bCs/>
          <w:color w:val="0000FF"/>
          <w:sz w:val="28"/>
          <w:szCs w:val="28"/>
          <w:lang w:val="en-GB"/>
        </w:rPr>
        <w:t xml:space="preserve">                    </w:t>
      </w:r>
    </w:p>
    <w:p w14:paraId="3CD35182" w14:textId="77777777" w:rsidR="000D1807" w:rsidRDefault="000D1807" w:rsidP="000D1807">
      <w:pPr>
        <w:tabs>
          <w:tab w:val="center" w:pos="4320"/>
          <w:tab w:val="right" w:pos="8640"/>
        </w:tabs>
        <w:spacing w:after="0" w:line="240" w:lineRule="auto"/>
        <w:rPr>
          <w:rFonts w:ascii="Gill Sans MT" w:eastAsia="Times New Roman" w:hAnsi="Gill Sans MT" w:cs="Times New Roman"/>
          <w:b/>
          <w:bCs/>
          <w:color w:val="0000FF"/>
          <w:sz w:val="28"/>
          <w:szCs w:val="28"/>
          <w:lang w:val="en-GB"/>
        </w:rPr>
      </w:pPr>
      <w:r>
        <w:rPr>
          <w:rFonts w:ascii="Gill Sans MT" w:eastAsia="Times New Roman" w:hAnsi="Gill Sans MT" w:cs="Times New Roman"/>
          <w:b/>
          <w:bCs/>
          <w:color w:val="0000FF"/>
          <w:sz w:val="28"/>
          <w:szCs w:val="28"/>
          <w:lang w:val="en-GB"/>
        </w:rPr>
        <w:t xml:space="preserve">                    </w:t>
      </w:r>
    </w:p>
    <w:p w14:paraId="30AED07D" w14:textId="77777777" w:rsidR="000D1807" w:rsidRDefault="000D1807" w:rsidP="00B0241D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8"/>
          <w:szCs w:val="28"/>
          <w:lang w:val="en-GB"/>
        </w:rPr>
      </w:pPr>
    </w:p>
    <w:p w14:paraId="09F83C66" w14:textId="74886C47" w:rsidR="00410DEF" w:rsidRPr="009236E8" w:rsidRDefault="00F563EA" w:rsidP="00B0241D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8"/>
          <w:szCs w:val="28"/>
          <w:lang w:val="en-GB"/>
        </w:rPr>
      </w:pPr>
      <w:r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C</w:t>
      </w:r>
      <w:r w:rsidR="00190F90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O</w:t>
      </w:r>
      <w:r w:rsidR="00BA6557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-OPERATING WITH OTHER PROVIDERS</w:t>
      </w:r>
    </w:p>
    <w:p w14:paraId="1331DE43" w14:textId="77777777" w:rsidR="00410DEF" w:rsidRPr="00B14A79" w:rsidRDefault="00410DEF" w:rsidP="00410DEF">
      <w:pPr>
        <w:keepNext/>
        <w:keepLines/>
        <w:widowControl w:val="0"/>
        <w:suppressAutoHyphens/>
        <w:autoSpaceDN w:val="0"/>
        <w:jc w:val="center"/>
        <w:textAlignment w:val="baseline"/>
        <w:outlineLvl w:val="0"/>
        <w:rPr>
          <w:rFonts w:ascii="Arial" w:eastAsia="Arial" w:hAnsi="Arial" w:cs="Arial"/>
          <w:b/>
          <w:bCs/>
          <w:kern w:val="3"/>
          <w:sz w:val="24"/>
          <w:szCs w:val="24"/>
          <w:lang w:bidi="en-US"/>
        </w:rPr>
      </w:pPr>
    </w:p>
    <w:p w14:paraId="5A335BF2" w14:textId="7F009944" w:rsidR="00B14A79" w:rsidRPr="00CC276F" w:rsidRDefault="00B0241D" w:rsidP="000D1807">
      <w:pPr>
        <w:keepNext/>
        <w:keepLines/>
        <w:widowControl w:val="0"/>
        <w:tabs>
          <w:tab w:val="center" w:pos="4513"/>
          <w:tab w:val="left" w:pos="7575"/>
        </w:tabs>
        <w:suppressAutoHyphens/>
        <w:autoSpaceDN w:val="0"/>
        <w:textAlignment w:val="baseline"/>
        <w:outlineLvl w:val="0"/>
        <w:rPr>
          <w:rFonts w:ascii="Arial" w:eastAsia="Arial" w:hAnsi="Arial" w:cs="Arial"/>
          <w:b/>
          <w:bCs/>
          <w:color w:val="0000FF" w:themeColor="hyperlink"/>
          <w:kern w:val="3"/>
          <w:sz w:val="24"/>
          <w:szCs w:val="24"/>
          <w:u w:val="single"/>
          <w:lang w:bidi="en-US"/>
        </w:rPr>
      </w:pPr>
      <w:r>
        <w:rPr>
          <w:rFonts w:ascii="Arial" w:eastAsia="Arial" w:hAnsi="Arial" w:cs="Arial"/>
          <w:b/>
          <w:bCs/>
          <w:kern w:val="3"/>
          <w:sz w:val="28"/>
          <w:szCs w:val="28"/>
          <w:lang w:bidi="en-US"/>
        </w:rPr>
        <w:tab/>
      </w:r>
    </w:p>
    <w:p w14:paraId="42C6E9DA" w14:textId="16C93454" w:rsidR="00A61A71" w:rsidRDefault="00B14A79" w:rsidP="00CC276F">
      <w:pPr>
        <w:pStyle w:val="WPHeading"/>
      </w:pPr>
      <w:r w:rsidRPr="00B14A79">
        <w:t>Scope</w:t>
      </w:r>
    </w:p>
    <w:p w14:paraId="3FE92DFE" w14:textId="1866CFCE" w:rsidR="00B7150E" w:rsidRPr="00CC276F" w:rsidRDefault="00B7150E" w:rsidP="00CC276F">
      <w:pPr>
        <w:pStyle w:val="WPBullet"/>
        <w:rPr>
          <w:rFonts w:eastAsia="HGGothicM"/>
          <w:b/>
          <w:bCs/>
          <w:lang w:bidi="en-US"/>
        </w:rPr>
      </w:pPr>
      <w:r w:rsidRPr="00CC276F">
        <w:rPr>
          <w:rFonts w:eastAsia="HGGothicM"/>
          <w:b/>
          <w:bCs/>
          <w:lang w:bidi="en-US"/>
        </w:rPr>
        <w:t>Policy Statement</w:t>
      </w:r>
    </w:p>
    <w:p w14:paraId="21E3EA7C" w14:textId="5CF0786E" w:rsidR="00B7150E" w:rsidRPr="00CC276F" w:rsidRDefault="00B7150E" w:rsidP="00CC276F">
      <w:pPr>
        <w:pStyle w:val="WPBullet"/>
        <w:rPr>
          <w:rFonts w:eastAsia="HGGothicM"/>
          <w:b/>
          <w:bCs/>
          <w:lang w:bidi="en-US"/>
        </w:rPr>
      </w:pPr>
      <w:r w:rsidRPr="00CC276F">
        <w:rPr>
          <w:rFonts w:eastAsia="HGGothicM"/>
          <w:b/>
          <w:bCs/>
          <w:lang w:bidi="en-US"/>
        </w:rPr>
        <w:t>The Policy</w:t>
      </w:r>
    </w:p>
    <w:p w14:paraId="1048EE8D" w14:textId="33AE3BF8" w:rsidR="000A27A8" w:rsidRPr="001047F1" w:rsidRDefault="000A27A8" w:rsidP="00CC276F">
      <w:pPr>
        <w:pStyle w:val="WPBullet"/>
        <w:rPr>
          <w:rFonts w:eastAsia="HGGothicM"/>
          <w:lang w:bidi="en-US"/>
        </w:rPr>
      </w:pPr>
      <w:r w:rsidRPr="001047F1">
        <w:rPr>
          <w:rFonts w:eastAsia="HGGothicM"/>
          <w:lang w:bidi="en-US"/>
        </w:rPr>
        <w:t>Arrangements</w:t>
      </w:r>
    </w:p>
    <w:p w14:paraId="3E3F74F5" w14:textId="18CEF50D" w:rsidR="000A27A8" w:rsidRPr="001047F1" w:rsidRDefault="000A27A8" w:rsidP="00CC276F">
      <w:pPr>
        <w:pStyle w:val="WPBullet"/>
        <w:rPr>
          <w:rFonts w:eastAsia="HGGothicM"/>
          <w:lang w:bidi="en-US"/>
        </w:rPr>
      </w:pPr>
      <w:r w:rsidRPr="001047F1">
        <w:rPr>
          <w:rFonts w:eastAsia="HGGothicM"/>
          <w:lang w:bidi="en-US"/>
        </w:rPr>
        <w:t>Information Sharing</w:t>
      </w:r>
    </w:p>
    <w:p w14:paraId="569BBE46" w14:textId="5CE43D58" w:rsidR="000A27A8" w:rsidRDefault="000A27A8" w:rsidP="00CC276F">
      <w:pPr>
        <w:pStyle w:val="WPBullet"/>
        <w:rPr>
          <w:rFonts w:eastAsia="HGGothicM"/>
          <w:lang w:bidi="en-US"/>
        </w:rPr>
      </w:pPr>
      <w:r w:rsidRPr="001047F1">
        <w:rPr>
          <w:rFonts w:eastAsia="HGGothicM"/>
          <w:lang w:bidi="en-US"/>
        </w:rPr>
        <w:t>Emergency Admission to Hospital Procedure</w:t>
      </w:r>
    </w:p>
    <w:p w14:paraId="3B12386E" w14:textId="3C4F5E95" w:rsidR="00300CC7" w:rsidRPr="00A77CBA" w:rsidRDefault="00300CC7" w:rsidP="00CC276F">
      <w:pPr>
        <w:pStyle w:val="WPBullet"/>
        <w:rPr>
          <w:rFonts w:eastAsia="HGGothicM"/>
          <w:lang w:bidi="en-US"/>
        </w:rPr>
      </w:pPr>
      <w:r w:rsidRPr="00A77CBA">
        <w:rPr>
          <w:rFonts w:eastAsia="HGGothicM"/>
          <w:lang w:bidi="en-US"/>
        </w:rPr>
        <w:t>Multi-Agency Working</w:t>
      </w:r>
    </w:p>
    <w:p w14:paraId="090BA61D" w14:textId="7110EC6E" w:rsidR="00300CC7" w:rsidRDefault="00300CC7" w:rsidP="00CC276F">
      <w:pPr>
        <w:pStyle w:val="WPBullet"/>
        <w:rPr>
          <w:rFonts w:eastAsia="HGGothicM"/>
          <w:lang w:bidi="en-US"/>
        </w:rPr>
      </w:pPr>
      <w:r w:rsidRPr="00A77CBA">
        <w:rPr>
          <w:rFonts w:eastAsia="HGGothicM"/>
          <w:lang w:bidi="en-US"/>
        </w:rPr>
        <w:t>Consent</w:t>
      </w:r>
    </w:p>
    <w:p w14:paraId="314B3864" w14:textId="504FA17E" w:rsidR="00CE4A3B" w:rsidRPr="00A77CBA" w:rsidRDefault="00CE4A3B" w:rsidP="00CC276F">
      <w:pPr>
        <w:pStyle w:val="WPBullet"/>
        <w:rPr>
          <w:rFonts w:eastAsia="HGGothicM"/>
          <w:lang w:bidi="en-US"/>
        </w:rPr>
      </w:pPr>
      <w:r>
        <w:rPr>
          <w:rFonts w:eastAsia="HGGothicM"/>
          <w:lang w:bidi="en-US"/>
        </w:rPr>
        <w:t>Transfer Methods</w:t>
      </w:r>
    </w:p>
    <w:p w14:paraId="6CE0DEDF" w14:textId="3815664E" w:rsidR="00B7150E" w:rsidRPr="00CC276F" w:rsidRDefault="00B7150E" w:rsidP="00CC276F">
      <w:pPr>
        <w:pStyle w:val="WPBullet"/>
        <w:rPr>
          <w:rFonts w:eastAsia="HGGothicM"/>
          <w:b/>
          <w:bCs/>
          <w:lang w:bidi="en-US"/>
        </w:rPr>
      </w:pPr>
      <w:r w:rsidRPr="00CC276F">
        <w:rPr>
          <w:rFonts w:eastAsia="HGGothicM"/>
          <w:b/>
          <w:bCs/>
          <w:lang w:bidi="en-US"/>
        </w:rPr>
        <w:t>Related Policies</w:t>
      </w:r>
    </w:p>
    <w:p w14:paraId="4144DE55" w14:textId="780BAA6A" w:rsidR="00B7150E" w:rsidRPr="00CC276F" w:rsidRDefault="00B7150E" w:rsidP="00CC276F">
      <w:pPr>
        <w:pStyle w:val="WPBullet"/>
        <w:rPr>
          <w:rFonts w:eastAsia="HGGothicM"/>
          <w:b/>
          <w:bCs/>
          <w:lang w:bidi="en-US"/>
        </w:rPr>
      </w:pPr>
      <w:r w:rsidRPr="00CC276F">
        <w:rPr>
          <w:rFonts w:eastAsia="HGGothicM"/>
          <w:b/>
          <w:bCs/>
          <w:lang w:bidi="en-US"/>
        </w:rPr>
        <w:t>Related Guidance</w:t>
      </w:r>
    </w:p>
    <w:p w14:paraId="2D8DA629" w14:textId="030FC062" w:rsidR="00A61A71" w:rsidRPr="00CC276F" w:rsidRDefault="00B7150E" w:rsidP="00CC276F">
      <w:pPr>
        <w:pStyle w:val="WPBullet"/>
        <w:rPr>
          <w:rFonts w:eastAsia="HGGothicM"/>
          <w:b/>
          <w:bCs/>
          <w:lang w:bidi="en-US"/>
        </w:rPr>
      </w:pPr>
      <w:r w:rsidRPr="00CC276F">
        <w:rPr>
          <w:rFonts w:eastAsia="HGGothicM"/>
          <w:b/>
          <w:bCs/>
          <w:lang w:bidi="en-US"/>
        </w:rPr>
        <w:t>Training Statement</w:t>
      </w:r>
    </w:p>
    <w:p w14:paraId="0EA2DC9B" w14:textId="433002C5" w:rsidR="002A5B90" w:rsidRDefault="00B7150E" w:rsidP="00CC276F">
      <w:pPr>
        <w:pStyle w:val="WPHeading"/>
      </w:pPr>
      <w:r>
        <w:t>Policy Statement</w:t>
      </w:r>
    </w:p>
    <w:p w14:paraId="23E72638" w14:textId="583F7B18" w:rsidR="00CD1E45" w:rsidRPr="001D354A" w:rsidRDefault="00CD1E45" w:rsidP="00CC276F">
      <w:pPr>
        <w:pStyle w:val="WPParagraph"/>
      </w:pPr>
      <w:r w:rsidRPr="00CD1E45">
        <w:t xml:space="preserve">This organisation is committed to a service that prioritises the </w:t>
      </w:r>
      <w:r w:rsidR="004F5756">
        <w:t>Service User</w:t>
      </w:r>
      <w:r w:rsidRPr="00CD1E45">
        <w:t>.</w:t>
      </w:r>
      <w:r w:rsidR="00CC276F">
        <w:t xml:space="preserve"> </w:t>
      </w:r>
      <w:r w:rsidRPr="00CD1E45">
        <w:t>As a private provider</w:t>
      </w:r>
      <w:r w:rsidR="00423B11">
        <w:t>,</w:t>
      </w:r>
      <w:r w:rsidRPr="00CD1E45">
        <w:t xml:space="preserve"> there are some business activities </w:t>
      </w:r>
      <w:r w:rsidR="00423B11">
        <w:t>that</w:t>
      </w:r>
      <w:r w:rsidRPr="00CD1E45">
        <w:t>, from a commercial perspective, cannot be shared.</w:t>
      </w:r>
      <w:r w:rsidR="00CC276F">
        <w:t xml:space="preserve"> </w:t>
      </w:r>
      <w:r w:rsidRPr="00CD1E45">
        <w:t>In the interests of openness and clarity</w:t>
      </w:r>
      <w:r w:rsidR="00423B11">
        <w:t>,</w:t>
      </w:r>
      <w:r w:rsidRPr="00CD1E45">
        <w:t xml:space="preserve"> we detail our </w:t>
      </w:r>
      <w:r w:rsidRPr="001D354A">
        <w:t xml:space="preserve">co-operation mode </w:t>
      </w:r>
      <w:r w:rsidRPr="001D354A">
        <w:rPr>
          <w:i/>
        </w:rPr>
        <w:t>di emploi</w:t>
      </w:r>
      <w:r w:rsidRPr="001D354A">
        <w:t xml:space="preserve"> and when we would share and exchange information.</w:t>
      </w:r>
    </w:p>
    <w:p w14:paraId="1D21095F" w14:textId="54FEA748" w:rsidR="00752AC2" w:rsidRPr="001D354A" w:rsidRDefault="00752AC2" w:rsidP="00752AC2">
      <w:pPr>
        <w:rPr>
          <w:rFonts w:ascii="Arial" w:hAnsi="Arial" w:cs="Arial"/>
          <w:sz w:val="24"/>
          <w:szCs w:val="24"/>
          <w:lang w:val="en-GB"/>
        </w:rPr>
      </w:pPr>
      <w:r w:rsidRPr="001D354A">
        <w:rPr>
          <w:rFonts w:ascii="Arial" w:hAnsi="Arial" w:cs="Arial"/>
          <w:sz w:val="24"/>
          <w:szCs w:val="24"/>
          <w:lang w:val="en-GB"/>
        </w:rPr>
        <w:t xml:space="preserve">During </w:t>
      </w:r>
      <w:r w:rsidR="007C74FC" w:rsidRPr="001D354A">
        <w:rPr>
          <w:rFonts w:ascii="Arial" w:hAnsi="Arial" w:cs="Arial"/>
          <w:sz w:val="24"/>
          <w:szCs w:val="24"/>
          <w:lang w:val="en-GB"/>
        </w:rPr>
        <w:t xml:space="preserve">a </w:t>
      </w:r>
      <w:r w:rsidRPr="001D354A">
        <w:rPr>
          <w:rFonts w:ascii="Arial" w:hAnsi="Arial" w:cs="Arial"/>
          <w:sz w:val="24"/>
          <w:szCs w:val="24"/>
          <w:lang w:val="en-GB"/>
        </w:rPr>
        <w:t>Pandemic</w:t>
      </w:r>
      <w:r w:rsidR="007C74FC" w:rsidRPr="001D354A">
        <w:rPr>
          <w:rFonts w:ascii="Arial" w:hAnsi="Arial" w:cs="Arial"/>
          <w:sz w:val="24"/>
          <w:szCs w:val="24"/>
          <w:lang w:val="en-GB"/>
        </w:rPr>
        <w:t xml:space="preserve"> such as Coronavirus</w:t>
      </w:r>
      <w:r w:rsidR="004E5EAC">
        <w:rPr>
          <w:rFonts w:ascii="Arial" w:hAnsi="Arial" w:cs="Arial"/>
          <w:sz w:val="24"/>
          <w:szCs w:val="24"/>
          <w:lang w:val="en-GB"/>
        </w:rPr>
        <w:t>,</w:t>
      </w:r>
      <w:r w:rsidRPr="001D354A">
        <w:rPr>
          <w:rFonts w:ascii="Arial" w:hAnsi="Arial" w:cs="Arial"/>
          <w:sz w:val="24"/>
          <w:szCs w:val="24"/>
          <w:lang w:val="en-GB"/>
        </w:rPr>
        <w:t xml:space="preserve"> we follow the government guidance on working with other professionals and co-operating with other providers. This guidance and any local restriction tiers are monitored </w:t>
      </w:r>
      <w:proofErr w:type="gramStart"/>
      <w:r w:rsidRPr="001D354A">
        <w:rPr>
          <w:rFonts w:ascii="Arial" w:hAnsi="Arial" w:cs="Arial"/>
          <w:sz w:val="24"/>
          <w:szCs w:val="24"/>
          <w:lang w:val="en-GB"/>
        </w:rPr>
        <w:t>regularly</w:t>
      </w:r>
      <w:proofErr w:type="gramEnd"/>
      <w:r w:rsidRPr="001D354A">
        <w:rPr>
          <w:rFonts w:ascii="Arial" w:hAnsi="Arial" w:cs="Arial"/>
          <w:sz w:val="24"/>
          <w:szCs w:val="24"/>
          <w:lang w:val="en-GB"/>
        </w:rPr>
        <w:t xml:space="preserve"> and the necessary procedures are in place to work safely with other providers</w:t>
      </w:r>
      <w:r w:rsidR="001A4DCF" w:rsidRPr="001D354A">
        <w:rPr>
          <w:rFonts w:ascii="Arial" w:hAnsi="Arial" w:cs="Arial"/>
          <w:sz w:val="24"/>
          <w:szCs w:val="24"/>
          <w:lang w:val="en-GB"/>
        </w:rPr>
        <w:t>.</w:t>
      </w:r>
      <w:r w:rsidRPr="001D354A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7EE8C788" w14:textId="65C3572F" w:rsidR="00BE34DD" w:rsidRDefault="00B14A79" w:rsidP="00CC276F">
      <w:pPr>
        <w:pStyle w:val="WPHeading"/>
      </w:pPr>
      <w:r w:rsidRPr="002E7BED">
        <w:t>The Policy</w:t>
      </w:r>
    </w:p>
    <w:p w14:paraId="6FF5AFAF" w14:textId="4C8EC98E" w:rsidR="00CD1E45" w:rsidRPr="00CD1E45" w:rsidRDefault="00CD1E45" w:rsidP="00CC276F">
      <w:pPr>
        <w:pStyle w:val="WPParagraph"/>
      </w:pPr>
      <w:r w:rsidRPr="00CD1E45">
        <w:t>Th</w:t>
      </w:r>
      <w:r w:rsidR="004E5EAC">
        <w:t>is policy aim</w:t>
      </w:r>
      <w:r w:rsidRPr="00CD1E45">
        <w:t>s to ensure that</w:t>
      </w:r>
      <w:r w:rsidR="00423B11">
        <w:t>,</w:t>
      </w:r>
      <w:r w:rsidRPr="00CD1E45">
        <w:t xml:space="preserve"> where there is more than one provider of care and support, all multi-agency partners are aware of our commitment to our </w:t>
      </w:r>
      <w:r w:rsidR="004F5756">
        <w:t>Service Users</w:t>
      </w:r>
      <w:r w:rsidRPr="00CD1E45">
        <w:t xml:space="preserve"> and to assist where possible in a smooth transfer of information between multi-agency partners and other providers.</w:t>
      </w:r>
    </w:p>
    <w:p w14:paraId="3F61C74F" w14:textId="77777777" w:rsidR="00CD1E45" w:rsidRPr="00CD1E45" w:rsidRDefault="00CD1E45" w:rsidP="00CC276F">
      <w:pPr>
        <w:pStyle w:val="WPHeading2"/>
      </w:pPr>
      <w:bookmarkStart w:id="1" w:name="_Toc409431147"/>
      <w:r w:rsidRPr="00CD1E45">
        <w:t>Arrangements</w:t>
      </w:r>
      <w:bookmarkEnd w:id="1"/>
    </w:p>
    <w:p w14:paraId="2527E98F" w14:textId="035D471F" w:rsidR="00CD1E45" w:rsidRPr="00CD1E45" w:rsidRDefault="00CD1E45" w:rsidP="00CC276F">
      <w:pPr>
        <w:pStyle w:val="WPParagraph"/>
      </w:pPr>
      <w:r w:rsidRPr="00CD1E45">
        <w:t>From time to time</w:t>
      </w:r>
      <w:r w:rsidR="00423B11">
        <w:t>,</w:t>
      </w:r>
      <w:r w:rsidRPr="00CD1E45">
        <w:t xml:space="preserve"> situations occur where it is important to share information to play our part in making a valid contribution to a seamless service for the </w:t>
      </w:r>
      <w:r w:rsidR="004F5756">
        <w:t>Service User</w:t>
      </w:r>
      <w:r w:rsidRPr="00CD1E45">
        <w:t>.</w:t>
      </w:r>
    </w:p>
    <w:p w14:paraId="0737CDD9" w14:textId="7D19E7BE" w:rsidR="00CD1E45" w:rsidRPr="00CD1E45" w:rsidRDefault="004E5EAC" w:rsidP="00CC276F">
      <w:pPr>
        <w:pStyle w:val="WPParagraph"/>
      </w:pPr>
      <w:r>
        <w:lastRenderedPageBreak/>
        <w:t>So</w:t>
      </w:r>
      <w:r w:rsidR="00CD1E45" w:rsidRPr="00CD1E45">
        <w:t xml:space="preserve"> that care planning information is shared </w:t>
      </w:r>
      <w:r>
        <w:t>concerning</w:t>
      </w:r>
      <w:r w:rsidR="00CD1E45" w:rsidRPr="00CD1E45">
        <w:t xml:space="preserve"> the admission, transfer</w:t>
      </w:r>
      <w:r w:rsidR="00423B11">
        <w:t>,</w:t>
      </w:r>
      <w:r w:rsidR="00CD1E45" w:rsidRPr="00CD1E45">
        <w:t xml:space="preserve"> or discharge of </w:t>
      </w:r>
      <w:r w:rsidR="004F5756">
        <w:t>Service Users</w:t>
      </w:r>
      <w:r w:rsidR="00CD1E45" w:rsidRPr="00CD1E45">
        <w:t>, and to facilitate any emergency procedure coordination with the minimum of distress and anxiety, we will co-operate fully with our multi-agency partners in the exchange of information.</w:t>
      </w:r>
    </w:p>
    <w:p w14:paraId="02E0A878" w14:textId="0571C080" w:rsidR="00CD1E45" w:rsidRPr="00CD1E45" w:rsidRDefault="00CD1E45" w:rsidP="00CC276F">
      <w:pPr>
        <w:pStyle w:val="WPParagraph"/>
      </w:pPr>
      <w:r w:rsidRPr="00CD1E45">
        <w:t xml:space="preserve">Where multi-agency working is </w:t>
      </w:r>
      <w:r w:rsidR="00A469FA" w:rsidRPr="00CD1E45">
        <w:t>involved,</w:t>
      </w:r>
      <w:r w:rsidRPr="00CD1E45">
        <w:t xml:space="preserve"> we will ascertain the lead responsib</w:t>
      </w:r>
      <w:r w:rsidR="004E5EAC">
        <w:t>ility</w:t>
      </w:r>
      <w:r w:rsidRPr="00CD1E45">
        <w:t xml:space="preserve"> for the coordination of the care. We are aware of our Civil Emergency Team in our local authority</w:t>
      </w:r>
      <w:r w:rsidR="00CE4A3B">
        <w:t xml:space="preserve"> (LA)</w:t>
      </w:r>
      <w:r w:rsidRPr="00CD1E45">
        <w:t>, and have emergency and contingency plans in place.</w:t>
      </w:r>
    </w:p>
    <w:p w14:paraId="7FABC4A1" w14:textId="384804C4" w:rsidR="00CD1E45" w:rsidRPr="00CD1E45" w:rsidRDefault="00CD1E45" w:rsidP="00CC276F">
      <w:pPr>
        <w:pStyle w:val="WPParagraph"/>
      </w:pPr>
      <w:r w:rsidRPr="00F62266">
        <w:t xml:space="preserve">We are aware </w:t>
      </w:r>
      <w:r w:rsidRPr="00D35672">
        <w:t xml:space="preserve">of </w:t>
      </w:r>
      <w:r w:rsidR="00CC564B" w:rsidRPr="00D35672">
        <w:t xml:space="preserve">UK </w:t>
      </w:r>
      <w:r w:rsidR="00423B11" w:rsidRPr="00D35672">
        <w:t xml:space="preserve">data protection </w:t>
      </w:r>
      <w:r w:rsidRPr="00D35672">
        <w:t>legislation</w:t>
      </w:r>
      <w:r w:rsidR="00423B11" w:rsidRPr="00D35672">
        <w:t>,</w:t>
      </w:r>
      <w:r w:rsidRPr="00D35672">
        <w:t xml:space="preserve"> and our confidentiality policies and procedures include sharing on </w:t>
      </w:r>
      <w:r w:rsidRPr="00F62266">
        <w:t xml:space="preserve">a </w:t>
      </w:r>
      <w:r w:rsidR="009B11CF" w:rsidRPr="00F62266">
        <w:t>need-to-know</w:t>
      </w:r>
      <w:r w:rsidRPr="00F62266">
        <w:t xml:space="preserve"> basis.</w:t>
      </w:r>
      <w:r w:rsidR="00CC276F" w:rsidRPr="00F62266">
        <w:t xml:space="preserve"> </w:t>
      </w:r>
      <w:r w:rsidRPr="00F62266">
        <w:t xml:space="preserve">The </w:t>
      </w:r>
      <w:r w:rsidRPr="00CD1E45">
        <w:t>shared information will be appropriate, measured, transferred securely, up to date</w:t>
      </w:r>
      <w:r w:rsidR="00423B11">
        <w:t>,</w:t>
      </w:r>
      <w:r w:rsidRPr="00CD1E45">
        <w:t xml:space="preserve"> and relevant.</w:t>
      </w:r>
    </w:p>
    <w:p w14:paraId="7BA347CD" w14:textId="77777777" w:rsidR="00CD1E45" w:rsidRPr="00CD1E45" w:rsidRDefault="00CD1E45" w:rsidP="00CC276F">
      <w:pPr>
        <w:pStyle w:val="WPParagraph"/>
      </w:pPr>
      <w:r w:rsidRPr="00CD1E45">
        <w:t>Information is reviewed and updated using the review system.</w:t>
      </w:r>
    </w:p>
    <w:p w14:paraId="42068938" w14:textId="20CEFA73" w:rsidR="00CD1E45" w:rsidRPr="00CD1E45" w:rsidRDefault="00CD1E45" w:rsidP="00CC276F">
      <w:pPr>
        <w:pStyle w:val="WPParagraph"/>
      </w:pPr>
      <w:r w:rsidRPr="00CD1E45">
        <w:t xml:space="preserve">If information </w:t>
      </w:r>
      <w:r w:rsidR="009B11CF">
        <w:t>relating</w:t>
      </w:r>
      <w:r w:rsidRPr="00CD1E45">
        <w:t xml:space="preserve"> to a safeguarding allegation or disclosure is in the public interest, senior management advice is sought before any information is released to ensure the release is </w:t>
      </w:r>
      <w:r w:rsidR="004E5EAC">
        <w:t>following</w:t>
      </w:r>
      <w:r w:rsidRPr="00CD1E45">
        <w:t xml:space="preserve"> relevant legislation and guidance.</w:t>
      </w:r>
    </w:p>
    <w:p w14:paraId="0FCB0C07" w14:textId="77777777" w:rsidR="00CD1E45" w:rsidRPr="00CD1E45" w:rsidRDefault="00CD1E45" w:rsidP="00CC276F">
      <w:pPr>
        <w:pStyle w:val="WPHeading2"/>
      </w:pPr>
      <w:bookmarkStart w:id="2" w:name="_Toc409431148"/>
      <w:r w:rsidRPr="00CD1E45">
        <w:t>Information Sharing</w:t>
      </w:r>
      <w:bookmarkEnd w:id="2"/>
    </w:p>
    <w:p w14:paraId="7B99247B" w14:textId="5D195F00" w:rsidR="00CD1E45" w:rsidRPr="00CD1E45" w:rsidRDefault="00CD1E45" w:rsidP="00CC276F">
      <w:pPr>
        <w:pStyle w:val="WPParagraph"/>
      </w:pPr>
      <w:r w:rsidRPr="00CD1E45">
        <w:t xml:space="preserve">We will ensure that any exchange of information will adhere to </w:t>
      </w:r>
      <w:r w:rsidR="00423B11" w:rsidRPr="00CD1E45">
        <w:t xml:space="preserve">data protection </w:t>
      </w:r>
      <w:r w:rsidRPr="00CD1E45">
        <w:t>requirements and will include the following as a minimum:</w:t>
      </w:r>
    </w:p>
    <w:p w14:paraId="3D198EE0" w14:textId="315E7DE2" w:rsidR="00CD1E45" w:rsidRPr="00CD1E45" w:rsidRDefault="00CD1E45" w:rsidP="00423B11">
      <w:pPr>
        <w:pStyle w:val="WPBullet"/>
      </w:pPr>
      <w:r w:rsidRPr="00CD1E45">
        <w:t>Name</w:t>
      </w:r>
      <w:r w:rsidR="00423B11">
        <w:t>.</w:t>
      </w:r>
    </w:p>
    <w:p w14:paraId="188AFB86" w14:textId="11101CBF" w:rsidR="00CD1E45" w:rsidRPr="00CD1E45" w:rsidRDefault="00CD1E45" w:rsidP="00CC276F">
      <w:pPr>
        <w:pStyle w:val="WPBullet"/>
      </w:pPr>
      <w:r w:rsidRPr="00CD1E45">
        <w:t>Gender</w:t>
      </w:r>
      <w:r w:rsidR="00423B11">
        <w:t>.</w:t>
      </w:r>
    </w:p>
    <w:p w14:paraId="26DFF67C" w14:textId="322B9677" w:rsidR="00CD1E45" w:rsidRPr="00CD1E45" w:rsidRDefault="00CD1E45" w:rsidP="00CC276F">
      <w:pPr>
        <w:pStyle w:val="WPBullet"/>
      </w:pPr>
      <w:r w:rsidRPr="00CD1E45">
        <w:t>Date of birth</w:t>
      </w:r>
      <w:r w:rsidR="00423B11">
        <w:t>.</w:t>
      </w:r>
    </w:p>
    <w:p w14:paraId="78FFAC5D" w14:textId="4D382D38" w:rsidR="00CD1E45" w:rsidRPr="00CD1E45" w:rsidRDefault="00CD1E45" w:rsidP="00CC276F">
      <w:pPr>
        <w:pStyle w:val="WPBullet"/>
      </w:pPr>
      <w:r w:rsidRPr="00CD1E45">
        <w:t>Address</w:t>
      </w:r>
      <w:r w:rsidR="00423B11">
        <w:t>.</w:t>
      </w:r>
    </w:p>
    <w:p w14:paraId="03846A45" w14:textId="3FEACD6F" w:rsidR="00CD1E45" w:rsidRPr="00CD1E45" w:rsidRDefault="00CD1E45" w:rsidP="00CC276F">
      <w:pPr>
        <w:pStyle w:val="WPBullet"/>
      </w:pPr>
      <w:r w:rsidRPr="00CD1E45">
        <w:t xml:space="preserve">Unique </w:t>
      </w:r>
      <w:r w:rsidR="00423B11" w:rsidRPr="00CD1E45">
        <w:t>identification number or reference number</w:t>
      </w:r>
      <w:r w:rsidR="00423B11">
        <w:t>.</w:t>
      </w:r>
    </w:p>
    <w:p w14:paraId="09ED7D8F" w14:textId="2DD7E701" w:rsidR="00CD1E45" w:rsidRPr="00CD1E45" w:rsidRDefault="00CD1E45" w:rsidP="00CC276F">
      <w:pPr>
        <w:pStyle w:val="WPBullet"/>
      </w:pPr>
      <w:r w:rsidRPr="00CD1E45">
        <w:t>Emergency contact details</w:t>
      </w:r>
      <w:r w:rsidR="00423B11">
        <w:t>.</w:t>
      </w:r>
    </w:p>
    <w:p w14:paraId="76F69C08" w14:textId="684B16A1" w:rsidR="00CD1E45" w:rsidRPr="00CD1E45" w:rsidRDefault="00CD1E45" w:rsidP="00CC276F">
      <w:pPr>
        <w:pStyle w:val="WPBullet"/>
      </w:pPr>
      <w:r w:rsidRPr="00CD1E45">
        <w:t xml:space="preserve">Any person who acts as </w:t>
      </w:r>
      <w:r w:rsidR="004E5EAC">
        <w:t xml:space="preserve">a </w:t>
      </w:r>
      <w:r w:rsidRPr="00CD1E45">
        <w:t xml:space="preserve">representative, advocate, </w:t>
      </w:r>
      <w:r w:rsidR="00423B11">
        <w:t xml:space="preserve">or </w:t>
      </w:r>
      <w:r w:rsidRPr="00CD1E45">
        <w:t xml:space="preserve">who holds a </w:t>
      </w:r>
      <w:r w:rsidR="00423B11">
        <w:t>lasting power of attorney (LPA)</w:t>
      </w:r>
      <w:r w:rsidRPr="00CD1E45">
        <w:t xml:space="preserve"> or equivalent</w:t>
      </w:r>
      <w:r w:rsidR="00423B11">
        <w:t>,</w:t>
      </w:r>
      <w:r w:rsidRPr="00CD1E45">
        <w:t xml:space="preserve"> with contact details</w:t>
      </w:r>
      <w:r w:rsidR="00423B11">
        <w:t>,</w:t>
      </w:r>
      <w:r w:rsidRPr="00CD1E45">
        <w:t xml:space="preserve"> where available</w:t>
      </w:r>
      <w:r w:rsidR="00423B11">
        <w:t>.</w:t>
      </w:r>
    </w:p>
    <w:p w14:paraId="6DCCCAE0" w14:textId="24E979E8" w:rsidR="00CD1E45" w:rsidRPr="00CD1E45" w:rsidRDefault="00CD1E45" w:rsidP="00CC276F">
      <w:pPr>
        <w:pStyle w:val="WPBullet"/>
      </w:pPr>
      <w:r w:rsidRPr="00CD1E45">
        <w:t>Records of care, treatment</w:t>
      </w:r>
      <w:r w:rsidR="00423B11">
        <w:t>,</w:t>
      </w:r>
      <w:r w:rsidRPr="00CD1E45">
        <w:t xml:space="preserve"> and support provided up to the date of transfer</w:t>
      </w:r>
      <w:r w:rsidR="00423B11">
        <w:t>.</w:t>
      </w:r>
    </w:p>
    <w:p w14:paraId="648FE9D6" w14:textId="27C29FA2" w:rsidR="00CD1E45" w:rsidRPr="00CD1E45" w:rsidRDefault="00CD1E45" w:rsidP="00CC276F">
      <w:pPr>
        <w:pStyle w:val="WPBullet"/>
      </w:pPr>
      <w:r w:rsidRPr="00CD1E45">
        <w:t>Assessed needs</w:t>
      </w:r>
      <w:r w:rsidR="00423B11">
        <w:t>.</w:t>
      </w:r>
    </w:p>
    <w:p w14:paraId="000A9754" w14:textId="7072D2C1" w:rsidR="00CD1E45" w:rsidRPr="00CD1E45" w:rsidRDefault="00CD1E45" w:rsidP="00CC276F">
      <w:pPr>
        <w:pStyle w:val="WPBullet"/>
      </w:pPr>
      <w:r w:rsidRPr="00CD1E45">
        <w:t>Known preferences and any relevant diverse needs</w:t>
      </w:r>
      <w:r w:rsidR="00423B11">
        <w:t>.</w:t>
      </w:r>
    </w:p>
    <w:p w14:paraId="315C2A2A" w14:textId="54B882E6" w:rsidR="00CD1E45" w:rsidRPr="00CD1E45" w:rsidRDefault="00CD1E45" w:rsidP="00CC276F">
      <w:pPr>
        <w:pStyle w:val="WPBullet"/>
      </w:pPr>
      <w:r w:rsidRPr="00CD1E45">
        <w:t xml:space="preserve">Previous medical history that is relevant to the </w:t>
      </w:r>
      <w:r w:rsidR="004F5756">
        <w:t>Service User</w:t>
      </w:r>
      <w:r w:rsidR="00423B11">
        <w:t>’</w:t>
      </w:r>
      <w:r w:rsidRPr="00CD1E45">
        <w:t>s present needs and any relevant GP contact details</w:t>
      </w:r>
      <w:r w:rsidR="00423B11">
        <w:t>.</w:t>
      </w:r>
    </w:p>
    <w:p w14:paraId="37CA4D06" w14:textId="22069338" w:rsidR="00CD1E45" w:rsidRPr="00CD1E45" w:rsidRDefault="00CD1E45" w:rsidP="00CC276F">
      <w:pPr>
        <w:pStyle w:val="WPBullet"/>
      </w:pPr>
      <w:r w:rsidRPr="00CD1E45">
        <w:t>Any infection that needs to be managed</w:t>
      </w:r>
      <w:r w:rsidR="00423B11">
        <w:t>.</w:t>
      </w:r>
    </w:p>
    <w:p w14:paraId="66F9B665" w14:textId="3FC529DA" w:rsidR="00CD1E45" w:rsidRPr="00CD1E45" w:rsidRDefault="00CD1E45" w:rsidP="00CC276F">
      <w:pPr>
        <w:pStyle w:val="WPBullet"/>
      </w:pPr>
      <w:r w:rsidRPr="00CD1E45">
        <w:t xml:space="preserve">Any medicines </w:t>
      </w:r>
      <w:r w:rsidR="00423B11">
        <w:t xml:space="preserve">the </w:t>
      </w:r>
      <w:r w:rsidR="004F5756">
        <w:t>Service User</w:t>
      </w:r>
      <w:r w:rsidRPr="00CD1E45">
        <w:t xml:space="preserve"> need</w:t>
      </w:r>
      <w:r w:rsidR="00423B11">
        <w:t>s</w:t>
      </w:r>
      <w:r w:rsidRPr="00CD1E45">
        <w:t xml:space="preserve"> to take</w:t>
      </w:r>
      <w:r w:rsidR="00423B11">
        <w:t>.</w:t>
      </w:r>
    </w:p>
    <w:p w14:paraId="14D72B05" w14:textId="71906DA8" w:rsidR="00CD1E45" w:rsidRPr="00CD1E45" w:rsidRDefault="00CD1E45" w:rsidP="00CC276F">
      <w:pPr>
        <w:pStyle w:val="WPBullet"/>
      </w:pPr>
      <w:r w:rsidRPr="00CD1E45">
        <w:t>Any allergies</w:t>
      </w:r>
      <w:r w:rsidR="00423B11">
        <w:t xml:space="preserve"> the </w:t>
      </w:r>
      <w:r w:rsidR="004F5756">
        <w:t>Service User</w:t>
      </w:r>
      <w:r w:rsidR="00423B11">
        <w:t xml:space="preserve"> has.</w:t>
      </w:r>
    </w:p>
    <w:p w14:paraId="1D9A08A1" w14:textId="02A818A7" w:rsidR="00CD1E45" w:rsidRPr="00CD1E45" w:rsidRDefault="00CD1E45" w:rsidP="00CC276F">
      <w:pPr>
        <w:pStyle w:val="WPBullet"/>
      </w:pPr>
      <w:r w:rsidRPr="00CD1E45">
        <w:t>Reason for transferring to the new service</w:t>
      </w:r>
      <w:r w:rsidR="00423B11">
        <w:t>.</w:t>
      </w:r>
    </w:p>
    <w:p w14:paraId="3949C99A" w14:textId="2A91360C" w:rsidR="00CD1E45" w:rsidRPr="00CD1E45" w:rsidRDefault="00CD1E45" w:rsidP="00CC276F">
      <w:pPr>
        <w:pStyle w:val="WPBullet"/>
      </w:pPr>
      <w:r w:rsidRPr="00CD1E45">
        <w:t>Any advanced decision and any assessed risk of suicide or homicide or harm to self and others.</w:t>
      </w:r>
    </w:p>
    <w:p w14:paraId="5EC7ECDD" w14:textId="4175127A" w:rsidR="00CD1E45" w:rsidRPr="00CD1E45" w:rsidRDefault="00CD1E45" w:rsidP="00CC276F">
      <w:pPr>
        <w:pStyle w:val="WPParagraph"/>
      </w:pPr>
      <w:r w:rsidRPr="00CD1E45">
        <w:t>The above information should ensure that there are no interruptions to the continuity of care, treatment</w:t>
      </w:r>
      <w:r w:rsidR="00423B11">
        <w:t>,</w:t>
      </w:r>
      <w:r w:rsidRPr="00CD1E45">
        <w:t xml:space="preserve"> and support </w:t>
      </w:r>
      <w:r w:rsidR="00423B11">
        <w:t>of</w:t>
      </w:r>
      <w:r w:rsidRPr="00CD1E45">
        <w:t xml:space="preserve"> the </w:t>
      </w:r>
      <w:r w:rsidR="004F5756">
        <w:t>Service User</w:t>
      </w:r>
      <w:r w:rsidRPr="00CD1E45">
        <w:t>.</w:t>
      </w:r>
    </w:p>
    <w:p w14:paraId="36D6C4E9" w14:textId="77777777" w:rsidR="00CD1E45" w:rsidRPr="00CD1E45" w:rsidRDefault="00CD1E45" w:rsidP="00CC276F">
      <w:pPr>
        <w:pStyle w:val="WPHeading2"/>
      </w:pPr>
      <w:bookmarkStart w:id="3" w:name="_Toc409431149"/>
      <w:r w:rsidRPr="00CD1E45">
        <w:t>Emergency Admission to Hospital Procedure</w:t>
      </w:r>
      <w:bookmarkEnd w:id="3"/>
    </w:p>
    <w:p w14:paraId="684CE453" w14:textId="2F085ECB" w:rsidR="00CD1E45" w:rsidRPr="00CD1E45" w:rsidRDefault="00CD1E45" w:rsidP="00CC276F">
      <w:pPr>
        <w:pStyle w:val="WPBullet"/>
      </w:pPr>
      <w:r w:rsidRPr="00CD1E45">
        <w:t xml:space="preserve">When a member of staff </w:t>
      </w:r>
      <w:r w:rsidR="004E5EAC">
        <w:t>decides</w:t>
      </w:r>
      <w:r w:rsidRPr="00CD1E45">
        <w:t xml:space="preserve"> that the health of the </w:t>
      </w:r>
      <w:r w:rsidR="004F5756">
        <w:t>Service User</w:t>
      </w:r>
      <w:r w:rsidRPr="00CD1E45">
        <w:t xml:space="preserve"> has deteriorated or when the </w:t>
      </w:r>
      <w:r w:rsidR="004F5756">
        <w:t>Service User</w:t>
      </w:r>
      <w:r w:rsidRPr="00CD1E45">
        <w:t xml:space="preserve"> has had an accident, they must ring the office or the on-call supervisor. The office or on-call supervisor will </w:t>
      </w:r>
      <w:r w:rsidR="004E5EAC">
        <w:t>decide</w:t>
      </w:r>
      <w:r w:rsidRPr="00CD1E45">
        <w:t xml:space="preserve"> to call the GP or paramedics. The member of staff will be asked to stay with the </w:t>
      </w:r>
      <w:r w:rsidR="004F5756">
        <w:t>Service User</w:t>
      </w:r>
      <w:r w:rsidRPr="00CD1E45">
        <w:t xml:space="preserve"> until the paramedics or GP arrive.</w:t>
      </w:r>
    </w:p>
    <w:p w14:paraId="68E04181" w14:textId="20E0A463" w:rsidR="00CD1E45" w:rsidRPr="00CD1E45" w:rsidRDefault="00CD1E45" w:rsidP="00CC276F">
      <w:pPr>
        <w:pStyle w:val="WPBullet"/>
      </w:pPr>
      <w:r w:rsidRPr="00CD1E45">
        <w:lastRenderedPageBreak/>
        <w:t xml:space="preserve">If a decision is made by a GP or the paramedic team that the </w:t>
      </w:r>
      <w:r w:rsidR="004F5756">
        <w:t>Service User</w:t>
      </w:r>
      <w:r w:rsidRPr="00CD1E45">
        <w:t xml:space="preserve"> needs emergency hospital admission the member of staff present must re</w:t>
      </w:r>
      <w:r w:rsidR="00423B11">
        <w:t>-</w:t>
      </w:r>
      <w:r w:rsidRPr="00CD1E45">
        <w:t>contact the office immediately.</w:t>
      </w:r>
    </w:p>
    <w:p w14:paraId="7E3DEDA4" w14:textId="0F8D4DDD" w:rsidR="00CD1E45" w:rsidRPr="00CD1E45" w:rsidRDefault="00CD1E45" w:rsidP="00CC276F">
      <w:pPr>
        <w:pStyle w:val="WPBullet"/>
      </w:pPr>
      <w:r w:rsidRPr="00CD1E45">
        <w:t xml:space="preserve">The office will contact the next of kin to either accompany the </w:t>
      </w:r>
      <w:r w:rsidR="004F5756">
        <w:t>Service User</w:t>
      </w:r>
      <w:r w:rsidRPr="00CD1E45">
        <w:t xml:space="preserve"> or meet them at </w:t>
      </w:r>
      <w:r w:rsidR="004E5EAC">
        <w:t xml:space="preserve">the </w:t>
      </w:r>
      <w:r w:rsidRPr="00CD1E45">
        <w:t>hospital.</w:t>
      </w:r>
    </w:p>
    <w:p w14:paraId="3161C963" w14:textId="77777777" w:rsidR="00FE4638" w:rsidRDefault="00CD1E45" w:rsidP="00CC276F">
      <w:pPr>
        <w:pStyle w:val="WPBullet"/>
        <w:rPr>
          <w:b/>
        </w:rPr>
      </w:pPr>
      <w:r w:rsidRPr="00CD1E45">
        <w:t xml:space="preserve">The member of staff will be required to give relevant verbal information to the paramedic team </w:t>
      </w:r>
      <w:r w:rsidR="004E5EAC">
        <w:t>concerning</w:t>
      </w:r>
      <w:r w:rsidRPr="00CD1E45">
        <w:t xml:space="preserve"> the history of events, known allergies, medical conditions</w:t>
      </w:r>
      <w:r w:rsidR="0099466A">
        <w:t>,</w:t>
      </w:r>
      <w:r w:rsidRPr="00CD1E45">
        <w:t xml:space="preserve"> and medication. Any further requests for information must be directed to the office. </w:t>
      </w:r>
      <w:bookmarkStart w:id="4" w:name="CooperatingWithOtherProvidersInput1"/>
      <w:bookmarkEnd w:id="4"/>
    </w:p>
    <w:p w14:paraId="46001E94" w14:textId="77777777" w:rsidR="00FE4638" w:rsidRDefault="00FE4638" w:rsidP="00D75CE1">
      <w:pPr>
        <w:pStyle w:val="WPBullet"/>
        <w:numPr>
          <w:ilvl w:val="0"/>
          <w:numId w:val="0"/>
        </w:numPr>
      </w:pPr>
      <w:r>
        <w:rPr>
          <w:b/>
        </w:rPr>
        <w:t>PROCEDURES RELEVANT TO MY ORGANISATION</w:t>
      </w:r>
    </w:p>
    <w:p w14:paraId="42FD5043" w14:textId="6CE9A359" w:rsidR="00FE4638" w:rsidRPr="00FE4638" w:rsidRDefault="00FE4638" w:rsidP="00FE4638">
      <w:pPr>
        <w:pStyle w:val="WPBullet"/>
        <w:numPr>
          <w:ilvl w:val="0"/>
          <w:numId w:val="0"/>
        </w:numPr>
        <w:ind w:left="360"/>
      </w:pPr>
      <w:r w:rsidRPr="00FE4638">
        <w:t>Take any action</w:t>
      </w:r>
      <w:r w:rsidRPr="00FE4638">
        <w:rPr>
          <w:b/>
        </w:rPr>
        <w:t xml:space="preserve"> </w:t>
      </w:r>
      <w:r>
        <w:t>r</w:t>
      </w:r>
      <w:r w:rsidRPr="00FE4638">
        <w:t>equired to deal with the immediate risk.</w:t>
      </w:r>
    </w:p>
    <w:p w14:paraId="0AFCF229" w14:textId="2495327B" w:rsidR="00FE4638" w:rsidRPr="00FE4638" w:rsidRDefault="00FE4638" w:rsidP="00FE4638">
      <w:pPr>
        <w:pStyle w:val="WPBullet"/>
      </w:pPr>
      <w:r>
        <w:t>C</w:t>
      </w:r>
      <w:r w:rsidRPr="00FE4638">
        <w:t>ontact the emergence services if necessary.</w:t>
      </w:r>
    </w:p>
    <w:p w14:paraId="24E2BDE0" w14:textId="77777777" w:rsidR="00FE4638" w:rsidRPr="00FE4638" w:rsidRDefault="00FE4638" w:rsidP="00FE4638">
      <w:pPr>
        <w:pStyle w:val="WPBullet"/>
      </w:pPr>
      <w:r w:rsidRPr="00FE4638">
        <w:t>Contact your supervisor and make them aware of the situation.</w:t>
      </w:r>
    </w:p>
    <w:p w14:paraId="151C09C6" w14:textId="00474725" w:rsidR="00FE4638" w:rsidRPr="00FE4638" w:rsidRDefault="00FE4638" w:rsidP="00FE4638">
      <w:pPr>
        <w:pStyle w:val="WPBullet"/>
      </w:pPr>
      <w:r w:rsidRPr="00FE4638">
        <w:t xml:space="preserve">Ensure the </w:t>
      </w:r>
      <w:proofErr w:type="spellStart"/>
      <w:r w:rsidRPr="00FE4638">
        <w:t>incidnts</w:t>
      </w:r>
      <w:proofErr w:type="spellEnd"/>
      <w:r w:rsidRPr="00FE4638">
        <w:t xml:space="preserve"> is prope</w:t>
      </w:r>
      <w:r>
        <w:t>rly recorded in ac</w:t>
      </w:r>
      <w:r w:rsidRPr="00FE4638">
        <w:t>cident book.</w:t>
      </w:r>
    </w:p>
    <w:p w14:paraId="0E1D6AF0" w14:textId="77777777" w:rsidR="00FE4638" w:rsidRPr="00FE4638" w:rsidRDefault="00FE4638" w:rsidP="00FE4638">
      <w:pPr>
        <w:pStyle w:val="WPBullet"/>
        <w:numPr>
          <w:ilvl w:val="0"/>
          <w:numId w:val="0"/>
        </w:numPr>
        <w:ind w:left="360"/>
      </w:pPr>
    </w:p>
    <w:p w14:paraId="35A2C1C0" w14:textId="77777777" w:rsidR="00CD1E45" w:rsidRPr="00CD1E45" w:rsidRDefault="00CD1E45" w:rsidP="00CC276F">
      <w:pPr>
        <w:pStyle w:val="WPBullet"/>
      </w:pPr>
      <w:r w:rsidRPr="00CD1E45">
        <w:t>Any Care Quality Commission (CQC) notifications should be completed by the manager and sent online to CQC.</w:t>
      </w:r>
    </w:p>
    <w:p w14:paraId="3FEFA1D7" w14:textId="0323AA46" w:rsidR="00CD1E45" w:rsidRPr="00CD1E45" w:rsidRDefault="00CD1E45" w:rsidP="00CC276F">
      <w:pPr>
        <w:pStyle w:val="WPBullet"/>
      </w:pPr>
      <w:r w:rsidRPr="00CD1E45">
        <w:t>If relevant</w:t>
      </w:r>
      <w:r w:rsidR="0099466A">
        <w:t>,</w:t>
      </w:r>
      <w:r w:rsidRPr="00CD1E45">
        <w:t xml:space="preserve"> any RIDDOR notifications must be made.</w:t>
      </w:r>
    </w:p>
    <w:p w14:paraId="67208CB2" w14:textId="0A47E6D8" w:rsidR="00CD1E45" w:rsidRPr="00CD1E45" w:rsidRDefault="00CD1E45" w:rsidP="00CC276F">
      <w:pPr>
        <w:pStyle w:val="WPBullet"/>
      </w:pPr>
      <w:r w:rsidRPr="00CD1E45">
        <w:t>If relevant</w:t>
      </w:r>
      <w:r w:rsidR="0099466A">
        <w:t>,</w:t>
      </w:r>
      <w:r w:rsidRPr="00CD1E45">
        <w:t xml:space="preserve"> any accident forms should be completed and signed.</w:t>
      </w:r>
    </w:p>
    <w:p w14:paraId="66C26F77" w14:textId="2CFED59D" w:rsidR="00CD1E45" w:rsidRDefault="00CD1E45" w:rsidP="00CC276F">
      <w:pPr>
        <w:pStyle w:val="WPBullet"/>
      </w:pPr>
      <w:r w:rsidRPr="00CD1E45">
        <w:t xml:space="preserve">Before the </w:t>
      </w:r>
      <w:r w:rsidR="004F5756">
        <w:t>Service User</w:t>
      </w:r>
      <w:r w:rsidRPr="00CD1E45">
        <w:t xml:space="preserve"> returns home</w:t>
      </w:r>
      <w:r w:rsidR="0099466A">
        <w:t>,</w:t>
      </w:r>
      <w:r w:rsidRPr="00CD1E45">
        <w:t xml:space="preserve"> this organisation will ensure that it can continue to meet the needs of the </w:t>
      </w:r>
      <w:r w:rsidR="004F5756">
        <w:t>Service User</w:t>
      </w:r>
      <w:r w:rsidRPr="00CD1E45">
        <w:t xml:space="preserve"> through liaising with the hospital and </w:t>
      </w:r>
      <w:r w:rsidRPr="001D354A">
        <w:t>famil</w:t>
      </w:r>
      <w:r w:rsidR="00B15B1B" w:rsidRPr="001D354A">
        <w:t xml:space="preserve">y </w:t>
      </w:r>
      <w:r w:rsidRPr="001D354A">
        <w:t xml:space="preserve">and carrying out a revised needs </w:t>
      </w:r>
      <w:r w:rsidRPr="00CD1E45">
        <w:t>assessment.</w:t>
      </w:r>
    </w:p>
    <w:p w14:paraId="5D5198E2" w14:textId="77777777" w:rsidR="00DE598A" w:rsidRPr="00A77CBA" w:rsidRDefault="00DE598A" w:rsidP="00CC276F">
      <w:pPr>
        <w:pStyle w:val="WPHeading2"/>
      </w:pPr>
      <w:r w:rsidRPr="00A77CBA">
        <w:t>Multi-Agency Working</w:t>
      </w:r>
    </w:p>
    <w:p w14:paraId="1E62F809" w14:textId="6C10BF64" w:rsidR="00DE598A" w:rsidRPr="00A77CBA" w:rsidRDefault="00DE598A" w:rsidP="00CC276F">
      <w:pPr>
        <w:pStyle w:val="WPParagraph"/>
        <w:rPr>
          <w:rFonts w:eastAsia="Calibri"/>
          <w:iCs/>
        </w:rPr>
      </w:pPr>
      <w:r w:rsidRPr="00A77CBA">
        <w:rPr>
          <w:rFonts w:eastAsia="Calibri"/>
        </w:rPr>
        <w:t>Where multi-agency working is involved</w:t>
      </w:r>
      <w:r w:rsidR="0099466A">
        <w:rPr>
          <w:rFonts w:eastAsia="Calibri"/>
        </w:rPr>
        <w:t>,</w:t>
      </w:r>
      <w:r w:rsidRPr="00A77CBA">
        <w:rPr>
          <w:rFonts w:eastAsia="Calibri"/>
        </w:rPr>
        <w:t xml:space="preserve"> the organisation will ascertain the lead responsib</w:t>
      </w:r>
      <w:r w:rsidR="004E5EAC">
        <w:rPr>
          <w:rFonts w:eastAsia="Calibri"/>
        </w:rPr>
        <w:t>ility</w:t>
      </w:r>
      <w:r w:rsidRPr="00A77CBA">
        <w:rPr>
          <w:rFonts w:eastAsia="Calibri"/>
        </w:rPr>
        <w:t xml:space="preserve"> for the coordination of the care. We are aware of our Civil Emergency Team in our</w:t>
      </w:r>
      <w:r w:rsidR="00CE4A3B">
        <w:rPr>
          <w:rFonts w:eastAsia="Calibri"/>
        </w:rPr>
        <w:t xml:space="preserve"> LA</w:t>
      </w:r>
      <w:r w:rsidRPr="00A77CBA">
        <w:rPr>
          <w:rFonts w:eastAsia="Calibri"/>
        </w:rPr>
        <w:t xml:space="preserve">. We have emergency and contingency plans in place </w:t>
      </w:r>
      <w:r w:rsidR="009B11CF">
        <w:rPr>
          <w:rFonts w:eastAsia="Calibri"/>
        </w:rPr>
        <w:t>regarding</w:t>
      </w:r>
      <w:r w:rsidRPr="00A77CBA">
        <w:rPr>
          <w:rFonts w:eastAsia="Calibri"/>
        </w:rPr>
        <w:t xml:space="preserve"> the </w:t>
      </w:r>
      <w:r w:rsidRPr="00A77CBA">
        <w:rPr>
          <w:rFonts w:eastAsia="Calibri"/>
          <w:iCs/>
        </w:rPr>
        <w:t>Civil Contingencies Act 2004 or Coronavirus Act 2020.</w:t>
      </w:r>
    </w:p>
    <w:p w14:paraId="55D23441" w14:textId="68C52A28" w:rsidR="00DE598A" w:rsidRPr="00F20F8D" w:rsidRDefault="00DE598A" w:rsidP="00CC276F">
      <w:pPr>
        <w:pStyle w:val="WPParagraph"/>
        <w:rPr>
          <w:rFonts w:eastAsia="Calibri"/>
        </w:rPr>
      </w:pPr>
      <w:r w:rsidRPr="00F20F8D">
        <w:rPr>
          <w:rFonts w:eastAsia="Calibri"/>
        </w:rPr>
        <w:t xml:space="preserve">This organisation is </w:t>
      </w:r>
      <w:r w:rsidRPr="00D35672">
        <w:rPr>
          <w:rFonts w:eastAsia="Calibri"/>
        </w:rPr>
        <w:t xml:space="preserve">conscious of </w:t>
      </w:r>
      <w:r w:rsidR="00CC564B" w:rsidRPr="00D35672">
        <w:rPr>
          <w:rFonts w:eastAsia="Calibri"/>
        </w:rPr>
        <w:t xml:space="preserve">UK </w:t>
      </w:r>
      <w:r w:rsidR="00CE4A3B" w:rsidRPr="00D35672">
        <w:rPr>
          <w:rFonts w:eastAsia="Calibri"/>
        </w:rPr>
        <w:t xml:space="preserve">data protection </w:t>
      </w:r>
      <w:r w:rsidRPr="00D35672">
        <w:rPr>
          <w:rFonts w:eastAsia="Calibri"/>
        </w:rPr>
        <w:t xml:space="preserve">legislation; our confidentiality policies and procedures include sharing on </w:t>
      </w:r>
      <w:r w:rsidRPr="00F20F8D">
        <w:rPr>
          <w:rFonts w:eastAsia="Calibri"/>
        </w:rPr>
        <w:t xml:space="preserve">a </w:t>
      </w:r>
      <w:r w:rsidR="009B11CF" w:rsidRPr="00F20F8D">
        <w:rPr>
          <w:rFonts w:eastAsia="Calibri"/>
        </w:rPr>
        <w:t>need-to-know</w:t>
      </w:r>
      <w:r w:rsidRPr="00F20F8D">
        <w:rPr>
          <w:rFonts w:eastAsia="Calibri"/>
        </w:rPr>
        <w:t xml:space="preserve"> basis. The shared information will be appropriate, measured, transferred securely, up to date</w:t>
      </w:r>
      <w:r w:rsidR="00CE4A3B" w:rsidRPr="00F20F8D">
        <w:rPr>
          <w:rFonts w:eastAsia="Calibri"/>
        </w:rPr>
        <w:t>,</w:t>
      </w:r>
      <w:r w:rsidRPr="00F20F8D">
        <w:rPr>
          <w:rFonts w:eastAsia="Calibri"/>
        </w:rPr>
        <w:t xml:space="preserve"> and relevant.</w:t>
      </w:r>
    </w:p>
    <w:p w14:paraId="7C2B8A49" w14:textId="77777777" w:rsidR="00DE598A" w:rsidRPr="00F20F8D" w:rsidRDefault="00DE598A" w:rsidP="00CC276F">
      <w:pPr>
        <w:pStyle w:val="WPParagraph"/>
        <w:rPr>
          <w:rFonts w:eastAsia="Calibri"/>
        </w:rPr>
      </w:pPr>
      <w:r w:rsidRPr="00F20F8D">
        <w:rPr>
          <w:rFonts w:eastAsia="Calibri"/>
        </w:rPr>
        <w:t>Information is reviewed and updated using the review system.</w:t>
      </w:r>
    </w:p>
    <w:p w14:paraId="2D650935" w14:textId="1370C2C7" w:rsidR="00DE598A" w:rsidRPr="00F20F8D" w:rsidRDefault="00DE598A" w:rsidP="00CC276F">
      <w:pPr>
        <w:pStyle w:val="WPParagraph"/>
        <w:rPr>
          <w:rFonts w:eastAsia="Calibri"/>
        </w:rPr>
      </w:pPr>
      <w:r w:rsidRPr="00F20F8D">
        <w:rPr>
          <w:rFonts w:eastAsia="Calibri"/>
        </w:rPr>
        <w:t xml:space="preserve">If information </w:t>
      </w:r>
      <w:r w:rsidR="009B11CF" w:rsidRPr="00F20F8D">
        <w:rPr>
          <w:rFonts w:eastAsia="Calibri"/>
        </w:rPr>
        <w:t>relating</w:t>
      </w:r>
      <w:r w:rsidRPr="00F20F8D">
        <w:rPr>
          <w:rFonts w:eastAsia="Calibri"/>
        </w:rPr>
        <w:t xml:space="preserve"> to a safeguarding allegation</w:t>
      </w:r>
      <w:r w:rsidR="00CE4A3B" w:rsidRPr="00F20F8D">
        <w:rPr>
          <w:rFonts w:eastAsia="Calibri"/>
        </w:rPr>
        <w:t xml:space="preserve"> </w:t>
      </w:r>
      <w:r w:rsidRPr="00F20F8D">
        <w:rPr>
          <w:rFonts w:eastAsia="Calibri"/>
        </w:rPr>
        <w:t xml:space="preserve">or disclosure is in the public interest, senior management advice is sought before any information is released to ensure the release is </w:t>
      </w:r>
      <w:r w:rsidR="004E5EAC" w:rsidRPr="00F20F8D">
        <w:rPr>
          <w:rFonts w:eastAsia="Calibri"/>
        </w:rPr>
        <w:t>following</w:t>
      </w:r>
      <w:r w:rsidRPr="00F20F8D">
        <w:rPr>
          <w:rFonts w:eastAsia="Calibri"/>
        </w:rPr>
        <w:t xml:space="preserve"> relevant legislation and guidance. All staff </w:t>
      </w:r>
      <w:r w:rsidR="009B11CF" w:rsidRPr="00F20F8D">
        <w:rPr>
          <w:rFonts w:eastAsia="Calibri"/>
        </w:rPr>
        <w:t>is</w:t>
      </w:r>
      <w:r w:rsidRPr="00F20F8D">
        <w:rPr>
          <w:rFonts w:eastAsia="Calibri"/>
        </w:rPr>
        <w:t xml:space="preserve"> made aware of acceptable methods of transferring information and how important it is that the information is relevant, factually correct</w:t>
      </w:r>
      <w:r w:rsidR="00CE4A3B" w:rsidRPr="00F20F8D">
        <w:rPr>
          <w:rFonts w:eastAsia="Calibri"/>
        </w:rPr>
        <w:t>,</w:t>
      </w:r>
      <w:r w:rsidRPr="00F20F8D">
        <w:rPr>
          <w:rFonts w:eastAsia="Calibri"/>
        </w:rPr>
        <w:t xml:space="preserve"> omits subjective opinions, and can be shared online </w:t>
      </w:r>
      <w:r w:rsidR="004E5EAC" w:rsidRPr="00D35672">
        <w:rPr>
          <w:rFonts w:eastAsia="Calibri"/>
        </w:rPr>
        <w:t>following</w:t>
      </w:r>
      <w:r w:rsidRPr="00D35672">
        <w:rPr>
          <w:rFonts w:eastAsia="Calibri"/>
        </w:rPr>
        <w:t xml:space="preserve"> </w:t>
      </w:r>
      <w:r w:rsidR="00CC564B" w:rsidRPr="00D35672">
        <w:rPr>
          <w:rFonts w:eastAsia="Calibri"/>
        </w:rPr>
        <w:t xml:space="preserve">UK </w:t>
      </w:r>
      <w:r w:rsidR="00CE4A3B" w:rsidRPr="00D35672">
        <w:rPr>
          <w:rFonts w:eastAsia="Calibri"/>
        </w:rPr>
        <w:t xml:space="preserve">data protection </w:t>
      </w:r>
      <w:r w:rsidRPr="00D35672">
        <w:rPr>
          <w:rFonts w:eastAsia="Calibri"/>
        </w:rPr>
        <w:t xml:space="preserve">legislation and any other relevant guidance. </w:t>
      </w:r>
    </w:p>
    <w:p w14:paraId="321548B8" w14:textId="77777777" w:rsidR="00DE598A" w:rsidRPr="00A77CBA" w:rsidRDefault="00DE598A" w:rsidP="00CC276F">
      <w:pPr>
        <w:pStyle w:val="WPHeading2"/>
      </w:pPr>
      <w:r w:rsidRPr="00A77CBA">
        <w:t xml:space="preserve">Consent </w:t>
      </w:r>
    </w:p>
    <w:p w14:paraId="759396ED" w14:textId="7EC6431E" w:rsidR="00DE598A" w:rsidRPr="00A77CBA" w:rsidRDefault="00DE598A" w:rsidP="00CC276F">
      <w:pPr>
        <w:pStyle w:val="WPParagraph"/>
        <w:rPr>
          <w:rFonts w:eastAsia="Calibri"/>
        </w:rPr>
      </w:pPr>
      <w:r w:rsidRPr="00A77CBA">
        <w:rPr>
          <w:rFonts w:eastAsia="Calibri"/>
        </w:rPr>
        <w:t>Where consent cannot be obtained</w:t>
      </w:r>
      <w:r w:rsidR="00CE4A3B">
        <w:rPr>
          <w:rFonts w:eastAsia="Calibri"/>
        </w:rPr>
        <w:t>,</w:t>
      </w:r>
      <w:r w:rsidRPr="00A77CBA">
        <w:rPr>
          <w:rFonts w:eastAsia="Calibri"/>
        </w:rPr>
        <w:t xml:space="preserve"> it is recorded, including the reasons and the necessity of sharing the information. Where possible individuals are aware of the information that is being transferred and are provided with a copy when requested.</w:t>
      </w:r>
    </w:p>
    <w:p w14:paraId="3A120B5E" w14:textId="77777777" w:rsidR="00DE598A" w:rsidRPr="00A77CBA" w:rsidRDefault="00DE598A" w:rsidP="00CE4A3B">
      <w:pPr>
        <w:pStyle w:val="WPHeading2"/>
      </w:pPr>
      <w:r w:rsidRPr="00A77CBA">
        <w:lastRenderedPageBreak/>
        <w:t>Transfer Methods</w:t>
      </w:r>
    </w:p>
    <w:p w14:paraId="614AE5FF" w14:textId="1284D79C" w:rsidR="00DE598A" w:rsidRPr="00A77CBA" w:rsidRDefault="00DE598A" w:rsidP="00CC276F">
      <w:pPr>
        <w:pStyle w:val="WPParagraph"/>
        <w:rPr>
          <w:rFonts w:eastAsia="Calibri"/>
        </w:rPr>
      </w:pPr>
      <w:r w:rsidRPr="00A77CBA">
        <w:rPr>
          <w:rFonts w:eastAsia="Calibri"/>
        </w:rPr>
        <w:t xml:space="preserve">If </w:t>
      </w:r>
      <w:r w:rsidR="004E5EAC">
        <w:rPr>
          <w:rFonts w:eastAsia="Calibri"/>
        </w:rPr>
        <w:t>the information cannot</w:t>
      </w:r>
      <w:r w:rsidRPr="00A77CBA">
        <w:rPr>
          <w:rFonts w:eastAsia="Calibri"/>
        </w:rPr>
        <w:t xml:space="preserve"> accompany the individual, it must be transferred </w:t>
      </w:r>
      <w:r w:rsidR="004E5EAC">
        <w:rPr>
          <w:rFonts w:eastAsia="Calibri"/>
        </w:rPr>
        <w:t>securely and safely</w:t>
      </w:r>
      <w:r w:rsidRPr="00A77CBA">
        <w:rPr>
          <w:rFonts w:eastAsia="Calibri"/>
        </w:rPr>
        <w:t xml:space="preserve"> </w:t>
      </w:r>
      <w:r w:rsidR="009B11CF">
        <w:rPr>
          <w:rFonts w:eastAsia="Calibri"/>
        </w:rPr>
        <w:t>afterward</w:t>
      </w:r>
      <w:r w:rsidR="00CE4A3B">
        <w:rPr>
          <w:rFonts w:eastAsia="Calibri"/>
        </w:rPr>
        <w:t>.</w:t>
      </w:r>
      <w:r w:rsidRPr="00A77CBA">
        <w:rPr>
          <w:rFonts w:eastAsia="Calibri"/>
        </w:rPr>
        <w:t xml:space="preserve"> Where there is particularly sensitive personal information</w:t>
      </w:r>
      <w:r w:rsidR="00CE4A3B">
        <w:rPr>
          <w:rFonts w:eastAsia="Calibri"/>
        </w:rPr>
        <w:t>,</w:t>
      </w:r>
      <w:r w:rsidRPr="00A77CBA">
        <w:rPr>
          <w:rFonts w:eastAsia="Calibri"/>
        </w:rPr>
        <w:t xml:space="preserve"> a courier service will be used to ensure confidentiality.</w:t>
      </w:r>
    </w:p>
    <w:p w14:paraId="1443A007" w14:textId="2046149C" w:rsidR="00CD1E45" w:rsidRPr="00CC276F" w:rsidRDefault="00B14A79" w:rsidP="00CC276F">
      <w:pPr>
        <w:pStyle w:val="WPHeading"/>
      </w:pPr>
      <w:bookmarkStart w:id="5" w:name="_Hlk527548380"/>
      <w:r w:rsidRPr="002E7BED">
        <w:t>Related Policies</w:t>
      </w:r>
    </w:p>
    <w:p w14:paraId="00B86C85" w14:textId="77777777" w:rsidR="00CD1E45" w:rsidRPr="00CD1E45" w:rsidRDefault="00CD1E45" w:rsidP="00CC276F">
      <w:pPr>
        <w:pStyle w:val="WPParagraph"/>
        <w:rPr>
          <w:rFonts w:cs="Times New Roman"/>
        </w:rPr>
      </w:pPr>
      <w:r w:rsidRPr="00CD1E45">
        <w:rPr>
          <w:rFonts w:cs="Times New Roman"/>
        </w:rPr>
        <w:t>Confidentiality</w:t>
      </w:r>
    </w:p>
    <w:p w14:paraId="3E27CFDB" w14:textId="77777777" w:rsidR="00CD1E45" w:rsidRPr="00CD1E45" w:rsidRDefault="00CD1E45" w:rsidP="00CC276F">
      <w:pPr>
        <w:pStyle w:val="WPParagraph"/>
        <w:rPr>
          <w:rFonts w:cs="Times New Roman"/>
        </w:rPr>
      </w:pPr>
      <w:r w:rsidRPr="00CD1E45">
        <w:rPr>
          <w:rFonts w:cs="Times New Roman"/>
        </w:rPr>
        <w:t>Consent</w:t>
      </w:r>
    </w:p>
    <w:p w14:paraId="185DDE7A" w14:textId="77777777" w:rsidR="00CD1E45" w:rsidRPr="00CD1E45" w:rsidRDefault="00CD1E45" w:rsidP="00CC276F">
      <w:pPr>
        <w:pStyle w:val="WPParagraph"/>
        <w:rPr>
          <w:rFonts w:cs="Times New Roman"/>
        </w:rPr>
      </w:pPr>
      <w:r w:rsidRPr="00CD1E45">
        <w:rPr>
          <w:rFonts w:cs="Times New Roman"/>
        </w:rPr>
        <w:t>Cyber Security</w:t>
      </w:r>
    </w:p>
    <w:p w14:paraId="642CAC0F" w14:textId="1DE0FFBE" w:rsidR="00CD1E45" w:rsidRPr="00F20F8D" w:rsidRDefault="00CD1E45" w:rsidP="00CC276F">
      <w:pPr>
        <w:pStyle w:val="WPParagraph"/>
        <w:rPr>
          <w:rFonts w:cs="Times New Roman"/>
        </w:rPr>
      </w:pPr>
      <w:r w:rsidRPr="00F20F8D">
        <w:rPr>
          <w:rFonts w:cs="Times New Roman"/>
        </w:rPr>
        <w:t xml:space="preserve">Data Protection Legislative </w:t>
      </w:r>
      <w:r w:rsidRPr="00D35672">
        <w:rPr>
          <w:rFonts w:cs="Times New Roman"/>
        </w:rPr>
        <w:t>Framework (</w:t>
      </w:r>
      <w:r w:rsidR="004F5756" w:rsidRPr="00D35672">
        <w:rPr>
          <w:rFonts w:cs="Times New Roman"/>
        </w:rPr>
        <w:t xml:space="preserve">UK </w:t>
      </w:r>
      <w:r w:rsidRPr="00D35672">
        <w:rPr>
          <w:rFonts w:cs="Times New Roman"/>
        </w:rPr>
        <w:t>GDPR)</w:t>
      </w:r>
    </w:p>
    <w:p w14:paraId="20D1AF11" w14:textId="77777777" w:rsidR="00CD1E45" w:rsidRPr="00CD1E45" w:rsidRDefault="00CD1E45" w:rsidP="00CC276F">
      <w:pPr>
        <w:pStyle w:val="WPParagraph"/>
        <w:rPr>
          <w:rFonts w:cs="Times New Roman"/>
        </w:rPr>
      </w:pPr>
      <w:r w:rsidRPr="00CD1E45">
        <w:rPr>
          <w:rFonts w:cs="Times New Roman"/>
        </w:rPr>
        <w:t>Medication</w:t>
      </w:r>
    </w:p>
    <w:p w14:paraId="5B8E1CF7" w14:textId="52F9A58E" w:rsidR="009C78CF" w:rsidRPr="00CC276F" w:rsidRDefault="00CD1E45" w:rsidP="00CC276F">
      <w:pPr>
        <w:pStyle w:val="WPParagraph"/>
        <w:rPr>
          <w:rFonts w:cs="Times New Roman"/>
        </w:rPr>
      </w:pPr>
      <w:r w:rsidRPr="00CD1E45">
        <w:rPr>
          <w:rFonts w:cs="Times New Roman"/>
        </w:rPr>
        <w:t>Notifications</w:t>
      </w:r>
      <w:bookmarkEnd w:id="5"/>
    </w:p>
    <w:p w14:paraId="30216220" w14:textId="33ACD4AE" w:rsidR="009C78CF" w:rsidRDefault="002F0508" w:rsidP="00CC276F">
      <w:pPr>
        <w:pStyle w:val="WPHeading"/>
      </w:pPr>
      <w:r>
        <w:br/>
      </w:r>
      <w:r w:rsidR="00993C4A" w:rsidRPr="002E7BED">
        <w:t xml:space="preserve">Related </w:t>
      </w:r>
      <w:r w:rsidR="00993C4A">
        <w:t>Guidance</w:t>
      </w:r>
    </w:p>
    <w:p w14:paraId="5182AFD9" w14:textId="40E4382E" w:rsidR="001B34EC" w:rsidRPr="00BD6168" w:rsidRDefault="001B34EC" w:rsidP="004C6E24">
      <w:pPr>
        <w:pStyle w:val="WPParagraph"/>
        <w:spacing w:before="0" w:after="0" w:line="240" w:lineRule="auto"/>
        <w:rPr>
          <w:bCs/>
          <w:lang w:eastAsia="x-none"/>
        </w:rPr>
      </w:pPr>
      <w:r w:rsidRPr="00BD6168">
        <w:rPr>
          <w:bCs/>
          <w:lang w:eastAsia="x-none"/>
        </w:rPr>
        <w:t>Infection prevention and control in adult social care: COVID-19 supplement</w:t>
      </w:r>
    </w:p>
    <w:p w14:paraId="41980E57" w14:textId="7EB0C606" w:rsidR="001B34EC" w:rsidRPr="00BD6168" w:rsidRDefault="00000000" w:rsidP="004C6E24">
      <w:pPr>
        <w:pStyle w:val="WPParagraph"/>
        <w:spacing w:before="0" w:after="0" w:line="240" w:lineRule="auto"/>
        <w:rPr>
          <w:bCs/>
          <w:lang w:eastAsia="x-none"/>
        </w:rPr>
      </w:pPr>
      <w:hyperlink r:id="rId13" w:history="1">
        <w:r w:rsidR="00BD6168" w:rsidRPr="00CF5544">
          <w:rPr>
            <w:rStyle w:val="Hyperlink"/>
            <w:bCs/>
            <w:lang w:eastAsia="x-none"/>
          </w:rPr>
          <w:t>https://www.gov.uk/government/publications/infection-prevention-and-control-in-adult-social-care-covid-19-supplement</w:t>
        </w:r>
      </w:hyperlink>
      <w:r w:rsidR="00BD6168">
        <w:rPr>
          <w:bCs/>
          <w:lang w:eastAsia="x-none"/>
        </w:rPr>
        <w:t xml:space="preserve"> </w:t>
      </w:r>
    </w:p>
    <w:p w14:paraId="0535EF58" w14:textId="77777777" w:rsidR="001B34EC" w:rsidRDefault="001B34EC" w:rsidP="004C6E24">
      <w:pPr>
        <w:pStyle w:val="WPParagraph"/>
        <w:spacing w:before="0" w:after="0" w:line="240" w:lineRule="auto"/>
        <w:rPr>
          <w:bCs/>
          <w:lang w:eastAsia="x-none"/>
        </w:rPr>
      </w:pPr>
    </w:p>
    <w:p w14:paraId="16F3A86F" w14:textId="77777777" w:rsidR="004C6E24" w:rsidRDefault="00993C4A" w:rsidP="004C6E24">
      <w:pPr>
        <w:pStyle w:val="WPParagraph"/>
        <w:spacing w:before="0" w:after="0" w:line="240" w:lineRule="auto"/>
      </w:pPr>
      <w:r w:rsidRPr="00BB5E86">
        <w:t>NICE Guidelines [NG 22]</w:t>
      </w:r>
      <w:r w:rsidR="00CC276F">
        <w:t xml:space="preserve">, </w:t>
      </w:r>
      <w:r w:rsidRPr="00BB5E86">
        <w:t>November 2015</w:t>
      </w:r>
      <w:r w:rsidR="00CC276F">
        <w:t xml:space="preserve">: </w:t>
      </w:r>
      <w:r w:rsidR="00A469FA" w:rsidRPr="00BB5E86">
        <w:t>Older</w:t>
      </w:r>
      <w:r w:rsidRPr="00BB5E86">
        <w:t xml:space="preserve"> people with social care needs and multiple long-term conditions</w:t>
      </w:r>
      <w:r w:rsidR="00CC276F">
        <w:t>:</w:t>
      </w:r>
    </w:p>
    <w:p w14:paraId="27AD420C" w14:textId="267F57C8" w:rsidR="00EF58F7" w:rsidRDefault="00000000" w:rsidP="004C6E24">
      <w:pPr>
        <w:pStyle w:val="WPParagraph"/>
        <w:spacing w:before="0" w:after="0" w:line="240" w:lineRule="auto"/>
        <w:rPr>
          <w:rStyle w:val="Hyperlink"/>
        </w:rPr>
      </w:pPr>
      <w:hyperlink r:id="rId14" w:history="1">
        <w:r w:rsidR="004C6E24" w:rsidRPr="0029560E">
          <w:rPr>
            <w:rStyle w:val="Hyperlink"/>
          </w:rPr>
          <w:t>https://www.nice.org.uk/guidance/ng22</w:t>
        </w:r>
      </w:hyperlink>
    </w:p>
    <w:p w14:paraId="7E5757C3" w14:textId="77777777" w:rsidR="004C6E24" w:rsidRDefault="004C6E24" w:rsidP="004C6E24">
      <w:pPr>
        <w:pStyle w:val="WPParagraph"/>
        <w:spacing w:before="0" w:after="0" w:line="240" w:lineRule="auto"/>
      </w:pPr>
    </w:p>
    <w:p w14:paraId="12A7BC5B" w14:textId="77777777" w:rsidR="004C6E24" w:rsidRDefault="00993C4A" w:rsidP="004C6E24">
      <w:pPr>
        <w:pStyle w:val="WPParagraph"/>
        <w:spacing w:before="0" w:after="0" w:line="240" w:lineRule="auto"/>
      </w:pPr>
      <w:r w:rsidRPr="00426ADC">
        <w:t>NICE Quality Standard QS 136</w:t>
      </w:r>
      <w:r w:rsidR="00CC276F">
        <w:t>,</w:t>
      </w:r>
      <w:r w:rsidRPr="00426ADC">
        <w:t xml:space="preserve"> </w:t>
      </w:r>
      <w:r w:rsidR="00E6703E" w:rsidRPr="00FA1B58">
        <w:t>May 2020</w:t>
      </w:r>
      <w:r w:rsidR="00CC276F">
        <w:t xml:space="preserve">: </w:t>
      </w:r>
      <w:r w:rsidRPr="00426ADC">
        <w:t>Transition between inpatient hospital settings and community or care home settings for adults with social care needs</w:t>
      </w:r>
    </w:p>
    <w:p w14:paraId="75D0B736" w14:textId="7194E25F" w:rsidR="00993C4A" w:rsidRDefault="00000000" w:rsidP="004C6E24">
      <w:pPr>
        <w:pStyle w:val="WPParagraph"/>
        <w:spacing w:before="0" w:after="0" w:line="240" w:lineRule="auto"/>
      </w:pPr>
      <w:hyperlink r:id="rId15" w:history="1">
        <w:r w:rsidR="004C6E24" w:rsidRPr="0029560E">
          <w:rPr>
            <w:rStyle w:val="Hyperlink"/>
          </w:rPr>
          <w:t>https://www.nice.org.uk/guidance/qs136</w:t>
        </w:r>
      </w:hyperlink>
      <w:r w:rsidR="00993C4A">
        <w:t xml:space="preserve"> </w:t>
      </w:r>
    </w:p>
    <w:p w14:paraId="77BD5A3C" w14:textId="77777777" w:rsidR="004C6E24" w:rsidRPr="00426ADC" w:rsidRDefault="004C6E24" w:rsidP="004C6E24">
      <w:pPr>
        <w:pStyle w:val="WPParagraph"/>
        <w:spacing w:before="0" w:after="0" w:line="240" w:lineRule="auto"/>
      </w:pPr>
    </w:p>
    <w:p w14:paraId="1D06525C" w14:textId="77777777" w:rsidR="004C6E24" w:rsidRDefault="00993C4A" w:rsidP="004C6E24">
      <w:pPr>
        <w:pStyle w:val="WPParagraph"/>
        <w:spacing w:before="0" w:after="0" w:line="240" w:lineRule="auto"/>
      </w:pPr>
      <w:r w:rsidRPr="00426ADC">
        <w:t xml:space="preserve">NICE </w:t>
      </w:r>
      <w:r w:rsidR="00CC276F">
        <w:t>G</w:t>
      </w:r>
      <w:r w:rsidRPr="00426ADC">
        <w:t>uidelines [NG43]</w:t>
      </w:r>
      <w:r w:rsidR="00CC276F">
        <w:t>,</w:t>
      </w:r>
      <w:r w:rsidRPr="00426ADC">
        <w:t xml:space="preserve"> February 2016</w:t>
      </w:r>
      <w:r w:rsidR="00CC276F">
        <w:t xml:space="preserve">: </w:t>
      </w:r>
      <w:r w:rsidRPr="00426ADC">
        <w:t>Transition from children to adults’ services for young people using health or social care services</w:t>
      </w:r>
    </w:p>
    <w:p w14:paraId="3369ED73" w14:textId="342D0046" w:rsidR="00993C4A" w:rsidRDefault="00000000" w:rsidP="004C6E24">
      <w:pPr>
        <w:pStyle w:val="WPParagraph"/>
        <w:spacing w:before="0" w:after="0" w:line="240" w:lineRule="auto"/>
      </w:pPr>
      <w:hyperlink r:id="rId16" w:history="1">
        <w:r w:rsidR="004C6E24" w:rsidRPr="0029560E">
          <w:rPr>
            <w:rStyle w:val="Hyperlink"/>
          </w:rPr>
          <w:t>https://www.nice.org.uk/guidance/ng43</w:t>
        </w:r>
      </w:hyperlink>
      <w:r w:rsidR="00993C4A">
        <w:t xml:space="preserve"> </w:t>
      </w:r>
    </w:p>
    <w:p w14:paraId="3D703AF2" w14:textId="77777777" w:rsidR="004C6E24" w:rsidRDefault="004C6E24" w:rsidP="004C6E24">
      <w:pPr>
        <w:pStyle w:val="WPParagraph"/>
        <w:spacing w:before="0" w:after="0" w:line="240" w:lineRule="auto"/>
      </w:pPr>
    </w:p>
    <w:p w14:paraId="4F2463B5" w14:textId="77777777" w:rsidR="00D47345" w:rsidRDefault="00D47345" w:rsidP="00D473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bookmarkStart w:id="6" w:name="_Hlk40167972"/>
      <w:r w:rsidRPr="00CA5927">
        <w:rPr>
          <w:rFonts w:ascii="Arial" w:eastAsia="Times New Roman" w:hAnsi="Arial" w:cs="Arial"/>
          <w:sz w:val="24"/>
          <w:szCs w:val="24"/>
          <w:lang w:val="en-GB" w:eastAsia="en-GB"/>
        </w:rPr>
        <w:t xml:space="preserve">Going to hospital 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 </w:t>
      </w:r>
    </w:p>
    <w:p w14:paraId="4211FD55" w14:textId="77777777" w:rsidR="00D47345" w:rsidRPr="00CA5927" w:rsidRDefault="00000000" w:rsidP="00D4734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n-GB" w:eastAsia="sk-SK"/>
        </w:rPr>
      </w:pPr>
      <w:hyperlink r:id="rId17" w:history="1">
        <w:r w:rsidR="00D47345" w:rsidRPr="00200CDD">
          <w:rPr>
            <w:rStyle w:val="Hyperlink"/>
            <w:rFonts w:ascii="Arial" w:eastAsia="Times New Roman" w:hAnsi="Arial" w:cs="Arial"/>
            <w:sz w:val="24"/>
            <w:szCs w:val="24"/>
            <w:lang w:val="en-GB" w:eastAsia="en-GB"/>
          </w:rPr>
          <w:t>https://www.nhs.uk/conditions/learning-disabilities/going-into-hospital/</w:t>
        </w:r>
      </w:hyperlink>
      <w:r w:rsidR="00D47345" w:rsidRPr="002E23FB">
        <w:rPr>
          <w:rFonts w:ascii="Arial" w:eastAsia="Times New Roman" w:hAnsi="Arial" w:cs="Arial"/>
          <w:color w:val="0000FF"/>
          <w:sz w:val="24"/>
          <w:szCs w:val="24"/>
          <w:lang w:val="en-GB" w:eastAsia="en-GB"/>
        </w:rPr>
        <w:t xml:space="preserve"> </w:t>
      </w:r>
    </w:p>
    <w:bookmarkEnd w:id="6"/>
    <w:p w14:paraId="222A80C3" w14:textId="1FC5809E" w:rsidR="00993C4A" w:rsidRDefault="00993C4A" w:rsidP="002F571F">
      <w:pPr>
        <w:pStyle w:val="WPHeading"/>
      </w:pPr>
      <w:r w:rsidRPr="00513C46">
        <w:t>Training Statement</w:t>
      </w:r>
    </w:p>
    <w:p w14:paraId="782A99DA" w14:textId="7A08D865" w:rsidR="00E5049F" w:rsidRDefault="00CC276F" w:rsidP="00212D75">
      <w:pPr>
        <w:pStyle w:val="WPParagraph"/>
      </w:pPr>
      <w:bookmarkStart w:id="7" w:name="_Hlk529282654"/>
      <w:bookmarkStart w:id="8" w:name="_Hlk53512270"/>
      <w:r w:rsidRPr="000A1D64">
        <w:rPr>
          <w:rFonts w:eastAsia="HGGothicM"/>
        </w:rPr>
        <w:t>All staff, during induction</w:t>
      </w:r>
      <w:r>
        <w:rPr>
          <w:rFonts w:eastAsia="HGGothicM"/>
        </w:rPr>
        <w:t>,</w:t>
      </w:r>
      <w:r w:rsidRPr="000A1D64">
        <w:rPr>
          <w:rFonts w:eastAsia="HGGothicM"/>
        </w:rPr>
        <w:t xml:space="preserve"> are made aware of the organisation</w:t>
      </w:r>
      <w:r>
        <w:rPr>
          <w:rFonts w:eastAsia="HGGothicM"/>
        </w:rPr>
        <w:t>’</w:t>
      </w:r>
      <w:r w:rsidRPr="000A1D64">
        <w:rPr>
          <w:rFonts w:eastAsia="HGGothicM"/>
        </w:rPr>
        <w:t>s policies and procedures, all of which are used for training updates. All policies and procedures are reviewed and amended where necessary</w:t>
      </w:r>
      <w:r>
        <w:rPr>
          <w:rFonts w:eastAsia="HGGothicM"/>
        </w:rPr>
        <w:t>,</w:t>
      </w:r>
      <w:r w:rsidRPr="000A1D64">
        <w:rPr>
          <w:rFonts w:eastAsia="HGGothicM"/>
        </w:rPr>
        <w:t xml:space="preserve"> and staff </w:t>
      </w:r>
      <w:r w:rsidR="009B11CF">
        <w:rPr>
          <w:rFonts w:eastAsia="HGGothicM"/>
        </w:rPr>
        <w:t>is</w:t>
      </w:r>
      <w:r w:rsidRPr="000A1D64">
        <w:rPr>
          <w:rFonts w:eastAsia="HGGothicM"/>
        </w:rPr>
        <w:t xml:space="preserve"> made aware of any changes. Observations are undertaken to check skills and competencies. Various methods of training are used</w:t>
      </w:r>
      <w:r>
        <w:rPr>
          <w:rFonts w:eastAsia="HGGothicM"/>
        </w:rPr>
        <w:t>,</w:t>
      </w:r>
      <w:r w:rsidRPr="000A1D64">
        <w:rPr>
          <w:rFonts w:eastAsia="HGGothicM"/>
        </w:rPr>
        <w:t xml:space="preserve"> including </w:t>
      </w:r>
      <w:r w:rsidR="009B11CF">
        <w:rPr>
          <w:rFonts w:eastAsia="HGGothicM"/>
        </w:rPr>
        <w:t>one-to-one</w:t>
      </w:r>
      <w:r w:rsidRPr="000A1D64">
        <w:rPr>
          <w:rFonts w:eastAsia="HGGothicM"/>
        </w:rPr>
        <w:t xml:space="preserve">, online, </w:t>
      </w:r>
      <w:r w:rsidR="009B11CF">
        <w:rPr>
          <w:rFonts w:eastAsia="HGGothicM"/>
        </w:rPr>
        <w:t>workbooks</w:t>
      </w:r>
      <w:r w:rsidRPr="000A1D64">
        <w:rPr>
          <w:rFonts w:eastAsia="HGGothicM"/>
        </w:rPr>
        <w:t xml:space="preserve">, group meetings, </w:t>
      </w:r>
      <w:r>
        <w:rPr>
          <w:rFonts w:eastAsia="HGGothicM"/>
        </w:rPr>
        <w:t xml:space="preserve">and </w:t>
      </w:r>
      <w:r w:rsidRPr="000A1D64">
        <w:rPr>
          <w:rFonts w:eastAsia="HGGothicM"/>
        </w:rPr>
        <w:t xml:space="preserve">individual </w:t>
      </w:r>
      <w:r w:rsidR="009B11CF">
        <w:rPr>
          <w:rFonts w:eastAsia="HGGothicM"/>
        </w:rPr>
        <w:t>supervision</w:t>
      </w:r>
      <w:bookmarkStart w:id="9" w:name="_Hlk527038464"/>
      <w:bookmarkEnd w:id="7"/>
      <w:bookmarkEnd w:id="8"/>
    </w:p>
    <w:p w14:paraId="6972301D" w14:textId="17F79932" w:rsidR="00E5049F" w:rsidRDefault="00DF6822" w:rsidP="00E5049F">
      <w:pPr>
        <w:pStyle w:val="WPParagraph"/>
      </w:pPr>
      <w:r>
        <w:t>Date Reviewed: May 2023</w:t>
      </w:r>
    </w:p>
    <w:p w14:paraId="5CACAB70" w14:textId="2F624C95" w:rsidR="00E5049F" w:rsidRDefault="00E5049F" w:rsidP="00E5049F">
      <w:pPr>
        <w:pStyle w:val="WPParagraph"/>
      </w:pPr>
      <w:r>
        <w:t xml:space="preserve">Person responsible for updating this policy: </w:t>
      </w:r>
      <w:r w:rsidR="000D1807">
        <w:rPr>
          <w:b/>
          <w:bCs/>
        </w:rPr>
        <w:t>IFEYINWA ODOEMENAM</w:t>
      </w:r>
    </w:p>
    <w:p w14:paraId="6739DEE5" w14:textId="34F51510" w:rsidR="00E5049F" w:rsidRDefault="00DF6822" w:rsidP="00E5049F">
      <w:pPr>
        <w:pStyle w:val="WPParagraph"/>
      </w:pPr>
      <w:r>
        <w:t>Next Review Date: May 2024</w:t>
      </w:r>
    </w:p>
    <w:p w14:paraId="458D965D" w14:textId="77777777" w:rsidR="002F571F" w:rsidRDefault="002F571F" w:rsidP="00CC276F">
      <w:pPr>
        <w:pStyle w:val="WPParagraph"/>
        <w:rPr>
          <w:b/>
          <w:bCs/>
        </w:rPr>
      </w:pPr>
    </w:p>
    <w:bookmarkEnd w:id="9"/>
    <w:p w14:paraId="5CC23AE6" w14:textId="40053374" w:rsidR="00B7150E" w:rsidRPr="00213EAC" w:rsidRDefault="00B7150E">
      <w:pPr>
        <w:spacing w:after="160" w:line="259" w:lineRule="auto"/>
        <w:ind w:left="360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sectPr w:rsidR="00B7150E" w:rsidRPr="00213EA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C06F1" w14:textId="77777777" w:rsidR="005051AB" w:rsidRDefault="005051AB" w:rsidP="00815DED">
      <w:pPr>
        <w:spacing w:after="0" w:line="240" w:lineRule="auto"/>
      </w:pPr>
      <w:r>
        <w:separator/>
      </w:r>
    </w:p>
  </w:endnote>
  <w:endnote w:type="continuationSeparator" w:id="0">
    <w:p w14:paraId="66189A37" w14:textId="77777777" w:rsidR="005051AB" w:rsidRDefault="005051AB" w:rsidP="0081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D9ED7" w14:textId="77777777" w:rsidR="00886877" w:rsidRDefault="008868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A158" w14:textId="77777777" w:rsidR="00886877" w:rsidRDefault="008868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3050" w14:textId="77777777" w:rsidR="00886877" w:rsidRDefault="00886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5212" w14:textId="77777777" w:rsidR="005051AB" w:rsidRDefault="005051AB" w:rsidP="00815DED">
      <w:pPr>
        <w:spacing w:after="0" w:line="240" w:lineRule="auto"/>
      </w:pPr>
      <w:r>
        <w:separator/>
      </w:r>
    </w:p>
  </w:footnote>
  <w:footnote w:type="continuationSeparator" w:id="0">
    <w:p w14:paraId="3D6476B6" w14:textId="77777777" w:rsidR="005051AB" w:rsidRDefault="005051AB" w:rsidP="0081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8B82" w14:textId="77777777" w:rsidR="00886877" w:rsidRDefault="00886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8536" w14:textId="77777777" w:rsidR="00886877" w:rsidRDefault="008868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86E3" w14:textId="77777777" w:rsidR="00886877" w:rsidRDefault="00886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CF6"/>
    <w:multiLevelType w:val="hybridMultilevel"/>
    <w:tmpl w:val="0DF83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2C72"/>
    <w:multiLevelType w:val="hybridMultilevel"/>
    <w:tmpl w:val="6C568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5706E"/>
    <w:multiLevelType w:val="multilevel"/>
    <w:tmpl w:val="F472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2501E"/>
    <w:multiLevelType w:val="hybridMultilevel"/>
    <w:tmpl w:val="8C76F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47D3D"/>
    <w:multiLevelType w:val="hybridMultilevel"/>
    <w:tmpl w:val="CF22CB2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09E2627A"/>
    <w:multiLevelType w:val="hybridMultilevel"/>
    <w:tmpl w:val="3D926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E02AB"/>
    <w:multiLevelType w:val="multilevel"/>
    <w:tmpl w:val="19CA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922180"/>
    <w:multiLevelType w:val="multilevel"/>
    <w:tmpl w:val="3F08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F46EBB"/>
    <w:multiLevelType w:val="hybridMultilevel"/>
    <w:tmpl w:val="721860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5497B"/>
    <w:multiLevelType w:val="multilevel"/>
    <w:tmpl w:val="6CD4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782ADF"/>
    <w:multiLevelType w:val="hybridMultilevel"/>
    <w:tmpl w:val="C76E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E5A5E"/>
    <w:multiLevelType w:val="hybridMultilevel"/>
    <w:tmpl w:val="298A0B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F1ADC"/>
    <w:multiLevelType w:val="hybridMultilevel"/>
    <w:tmpl w:val="5C3CD3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0C3997"/>
    <w:multiLevelType w:val="multilevel"/>
    <w:tmpl w:val="ECD4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6B58DF"/>
    <w:multiLevelType w:val="hybridMultilevel"/>
    <w:tmpl w:val="7B6C7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421D5"/>
    <w:multiLevelType w:val="hybridMultilevel"/>
    <w:tmpl w:val="674643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3F6F0B"/>
    <w:multiLevelType w:val="hybridMultilevel"/>
    <w:tmpl w:val="B694C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2B3378"/>
    <w:multiLevelType w:val="hybridMultilevel"/>
    <w:tmpl w:val="52A270E0"/>
    <w:lvl w:ilvl="0" w:tplc="AB1A8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C92137"/>
    <w:multiLevelType w:val="hybridMultilevel"/>
    <w:tmpl w:val="5F441A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9A6EB3"/>
    <w:multiLevelType w:val="hybridMultilevel"/>
    <w:tmpl w:val="8DA81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410E53"/>
    <w:multiLevelType w:val="hybridMultilevel"/>
    <w:tmpl w:val="A81A8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1C3371"/>
    <w:multiLevelType w:val="multilevel"/>
    <w:tmpl w:val="5020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FD85DA3"/>
    <w:multiLevelType w:val="multilevel"/>
    <w:tmpl w:val="3F08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0E06546"/>
    <w:multiLevelType w:val="multilevel"/>
    <w:tmpl w:val="ECE2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3094428"/>
    <w:multiLevelType w:val="hybridMultilevel"/>
    <w:tmpl w:val="FEA6E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397BA8"/>
    <w:multiLevelType w:val="hybridMultilevel"/>
    <w:tmpl w:val="459AA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413CA3"/>
    <w:multiLevelType w:val="multilevel"/>
    <w:tmpl w:val="E86C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A77F40"/>
    <w:multiLevelType w:val="multilevel"/>
    <w:tmpl w:val="3F08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9D50038"/>
    <w:multiLevelType w:val="hybridMultilevel"/>
    <w:tmpl w:val="21CE64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A949B8"/>
    <w:multiLevelType w:val="hybridMultilevel"/>
    <w:tmpl w:val="BEBE0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0A2F77"/>
    <w:multiLevelType w:val="multilevel"/>
    <w:tmpl w:val="3F08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21533F"/>
    <w:multiLevelType w:val="hybridMultilevel"/>
    <w:tmpl w:val="36D88724"/>
    <w:lvl w:ilvl="0" w:tplc="157A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AA7BBE"/>
    <w:multiLevelType w:val="hybridMultilevel"/>
    <w:tmpl w:val="C3063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C7466D"/>
    <w:multiLevelType w:val="multilevel"/>
    <w:tmpl w:val="ECD4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00E523D"/>
    <w:multiLevelType w:val="multilevel"/>
    <w:tmpl w:val="9516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03C2EB8"/>
    <w:multiLevelType w:val="hybridMultilevel"/>
    <w:tmpl w:val="0888CC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28675B3"/>
    <w:multiLevelType w:val="multilevel"/>
    <w:tmpl w:val="5020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2EC4228"/>
    <w:multiLevelType w:val="hybridMultilevel"/>
    <w:tmpl w:val="3B2EB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852214"/>
    <w:multiLevelType w:val="hybridMultilevel"/>
    <w:tmpl w:val="218C748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4EE4830"/>
    <w:multiLevelType w:val="multilevel"/>
    <w:tmpl w:val="4700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5292627"/>
    <w:multiLevelType w:val="hybridMultilevel"/>
    <w:tmpl w:val="E7EC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452351"/>
    <w:multiLevelType w:val="hybridMultilevel"/>
    <w:tmpl w:val="16B6C2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081564"/>
    <w:multiLevelType w:val="hybridMultilevel"/>
    <w:tmpl w:val="C19AC24E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43" w15:restartNumberingAfterBreak="0">
    <w:nsid w:val="40E01F2F"/>
    <w:multiLevelType w:val="hybridMultilevel"/>
    <w:tmpl w:val="60923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114B46"/>
    <w:multiLevelType w:val="multilevel"/>
    <w:tmpl w:val="E1C2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36705C7"/>
    <w:multiLevelType w:val="multilevel"/>
    <w:tmpl w:val="5020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58134FB"/>
    <w:multiLevelType w:val="multilevel"/>
    <w:tmpl w:val="5D70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A3942B2"/>
    <w:multiLevelType w:val="hybridMultilevel"/>
    <w:tmpl w:val="E06E6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4B5069"/>
    <w:multiLevelType w:val="hybridMultilevel"/>
    <w:tmpl w:val="1BDC47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E63B34"/>
    <w:multiLevelType w:val="hybridMultilevel"/>
    <w:tmpl w:val="099AA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BB081A"/>
    <w:multiLevelType w:val="hybridMultilevel"/>
    <w:tmpl w:val="DFB4B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2EC6EF6"/>
    <w:multiLevelType w:val="hybridMultilevel"/>
    <w:tmpl w:val="C876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E87267"/>
    <w:multiLevelType w:val="hybridMultilevel"/>
    <w:tmpl w:val="2E222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70E0592"/>
    <w:multiLevelType w:val="hybridMultilevel"/>
    <w:tmpl w:val="B42C8AF2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4" w15:restartNumberingAfterBreak="0">
    <w:nsid w:val="573B4158"/>
    <w:multiLevelType w:val="hybridMultilevel"/>
    <w:tmpl w:val="0CDCAB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C1CFF"/>
    <w:multiLevelType w:val="multilevel"/>
    <w:tmpl w:val="5020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9E50269"/>
    <w:multiLevelType w:val="multilevel"/>
    <w:tmpl w:val="5020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A4A1F54"/>
    <w:multiLevelType w:val="multilevel"/>
    <w:tmpl w:val="0272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A610DC5"/>
    <w:multiLevelType w:val="hybridMultilevel"/>
    <w:tmpl w:val="5F325A1E"/>
    <w:lvl w:ilvl="0" w:tplc="E272B1A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BF079C"/>
    <w:multiLevelType w:val="multilevel"/>
    <w:tmpl w:val="2970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E373BA9"/>
    <w:multiLevelType w:val="multilevel"/>
    <w:tmpl w:val="1B4A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F6F0076"/>
    <w:multiLevelType w:val="hybridMultilevel"/>
    <w:tmpl w:val="BC0244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FC1926"/>
    <w:multiLevelType w:val="hybridMultilevel"/>
    <w:tmpl w:val="E9342D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444F0D"/>
    <w:multiLevelType w:val="hybridMultilevel"/>
    <w:tmpl w:val="C892F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3D1B0F"/>
    <w:multiLevelType w:val="hybridMultilevel"/>
    <w:tmpl w:val="F55A07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71A2E67"/>
    <w:multiLevelType w:val="hybridMultilevel"/>
    <w:tmpl w:val="A9BCFE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7516954"/>
    <w:multiLevelType w:val="hybridMultilevel"/>
    <w:tmpl w:val="0958E7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B6656A"/>
    <w:multiLevelType w:val="hybridMultilevel"/>
    <w:tmpl w:val="9CEA616A"/>
    <w:lvl w:ilvl="0" w:tplc="0409000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68" w15:restartNumberingAfterBreak="0">
    <w:nsid w:val="6C250D1C"/>
    <w:multiLevelType w:val="hybridMultilevel"/>
    <w:tmpl w:val="32741A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0583074"/>
    <w:multiLevelType w:val="hybridMultilevel"/>
    <w:tmpl w:val="90FCC062"/>
    <w:lvl w:ilvl="0" w:tplc="E272B1A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3C05FDA"/>
    <w:multiLevelType w:val="hybridMultilevel"/>
    <w:tmpl w:val="13D8C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DC092E"/>
    <w:multiLevelType w:val="hybridMultilevel"/>
    <w:tmpl w:val="A5B0D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553DE0"/>
    <w:multiLevelType w:val="hybridMultilevel"/>
    <w:tmpl w:val="3E7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71F2951"/>
    <w:multiLevelType w:val="hybridMultilevel"/>
    <w:tmpl w:val="2856BD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7E029D5"/>
    <w:multiLevelType w:val="hybridMultilevel"/>
    <w:tmpl w:val="5E068D36"/>
    <w:lvl w:ilvl="0" w:tplc="E272B1AA">
      <w:numFmt w:val="bullet"/>
      <w:pStyle w:val="WP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C67D11"/>
    <w:multiLevelType w:val="hybridMultilevel"/>
    <w:tmpl w:val="6E3A43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A393B6C"/>
    <w:multiLevelType w:val="hybridMultilevel"/>
    <w:tmpl w:val="B4E8D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C1515A5"/>
    <w:multiLevelType w:val="hybridMultilevel"/>
    <w:tmpl w:val="019E8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E4681F"/>
    <w:multiLevelType w:val="multilevel"/>
    <w:tmpl w:val="BE38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DF91F0C"/>
    <w:multiLevelType w:val="multilevel"/>
    <w:tmpl w:val="772C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0709378">
    <w:abstractNumId w:val="17"/>
  </w:num>
  <w:num w:numId="2" w16cid:durableId="1488479005">
    <w:abstractNumId w:val="74"/>
  </w:num>
  <w:num w:numId="3" w16cid:durableId="629477676">
    <w:abstractNumId w:val="69"/>
  </w:num>
  <w:num w:numId="4" w16cid:durableId="1865169733">
    <w:abstractNumId w:val="58"/>
  </w:num>
  <w:num w:numId="5" w16cid:durableId="2010935898">
    <w:abstractNumId w:val="63"/>
  </w:num>
  <w:num w:numId="6" w16cid:durableId="23291030">
    <w:abstractNumId w:val="49"/>
  </w:num>
  <w:num w:numId="7" w16cid:durableId="341585741">
    <w:abstractNumId w:val="68"/>
  </w:num>
  <w:num w:numId="8" w16cid:durableId="852695348">
    <w:abstractNumId w:val="64"/>
  </w:num>
  <w:num w:numId="9" w16cid:durableId="253243096">
    <w:abstractNumId w:val="0"/>
  </w:num>
  <w:num w:numId="10" w16cid:durableId="1279600138">
    <w:abstractNumId w:val="11"/>
  </w:num>
  <w:num w:numId="11" w16cid:durableId="970788141">
    <w:abstractNumId w:val="65"/>
  </w:num>
  <w:num w:numId="12" w16cid:durableId="1595505818">
    <w:abstractNumId w:val="77"/>
  </w:num>
  <w:num w:numId="13" w16cid:durableId="300885749">
    <w:abstractNumId w:val="43"/>
  </w:num>
  <w:num w:numId="14" w16cid:durableId="111215013">
    <w:abstractNumId w:val="73"/>
  </w:num>
  <w:num w:numId="15" w16cid:durableId="1540556922">
    <w:abstractNumId w:val="60"/>
  </w:num>
  <w:num w:numId="16" w16cid:durableId="2029795376">
    <w:abstractNumId w:val="51"/>
  </w:num>
  <w:num w:numId="17" w16cid:durableId="745566554">
    <w:abstractNumId w:val="36"/>
  </w:num>
  <w:num w:numId="18" w16cid:durableId="1354065316">
    <w:abstractNumId w:val="59"/>
  </w:num>
  <w:num w:numId="19" w16cid:durableId="921641698">
    <w:abstractNumId w:val="39"/>
  </w:num>
  <w:num w:numId="20" w16cid:durableId="513232093">
    <w:abstractNumId w:val="6"/>
  </w:num>
  <w:num w:numId="21" w16cid:durableId="1150558619">
    <w:abstractNumId w:val="2"/>
  </w:num>
  <w:num w:numId="22" w16cid:durableId="1569152551">
    <w:abstractNumId w:val="79"/>
  </w:num>
  <w:num w:numId="23" w16cid:durableId="1754157129">
    <w:abstractNumId w:val="23"/>
  </w:num>
  <w:num w:numId="24" w16cid:durableId="1975595536">
    <w:abstractNumId w:val="46"/>
  </w:num>
  <w:num w:numId="25" w16cid:durableId="933517354">
    <w:abstractNumId w:val="44"/>
  </w:num>
  <w:num w:numId="26" w16cid:durableId="1666975782">
    <w:abstractNumId w:val="16"/>
  </w:num>
  <w:num w:numId="27" w16cid:durableId="1112629331">
    <w:abstractNumId w:val="55"/>
  </w:num>
  <w:num w:numId="28" w16cid:durableId="19748586">
    <w:abstractNumId w:val="45"/>
  </w:num>
  <w:num w:numId="29" w16cid:durableId="438332157">
    <w:abstractNumId w:val="56"/>
  </w:num>
  <w:num w:numId="30" w16cid:durableId="2129928182">
    <w:abstractNumId w:val="21"/>
  </w:num>
  <w:num w:numId="31" w16cid:durableId="937450016">
    <w:abstractNumId w:val="8"/>
  </w:num>
  <w:num w:numId="32" w16cid:durableId="2031179188">
    <w:abstractNumId w:val="4"/>
  </w:num>
  <w:num w:numId="33" w16cid:durableId="1574925454">
    <w:abstractNumId w:val="50"/>
  </w:num>
  <w:num w:numId="34" w16cid:durableId="2131589858">
    <w:abstractNumId w:val="47"/>
  </w:num>
  <w:num w:numId="35" w16cid:durableId="506094605">
    <w:abstractNumId w:val="54"/>
  </w:num>
  <w:num w:numId="36" w16cid:durableId="1162351193">
    <w:abstractNumId w:val="18"/>
  </w:num>
  <w:num w:numId="37" w16cid:durableId="2035033829">
    <w:abstractNumId w:val="66"/>
  </w:num>
  <w:num w:numId="38" w16cid:durableId="599528209">
    <w:abstractNumId w:val="41"/>
  </w:num>
  <w:num w:numId="39" w16cid:durableId="1409426914">
    <w:abstractNumId w:val="12"/>
  </w:num>
  <w:num w:numId="40" w16cid:durableId="2032607214">
    <w:abstractNumId w:val="76"/>
  </w:num>
  <w:num w:numId="41" w16cid:durableId="591356429">
    <w:abstractNumId w:val="40"/>
  </w:num>
  <w:num w:numId="42" w16cid:durableId="1751005229">
    <w:abstractNumId w:val="19"/>
  </w:num>
  <w:num w:numId="43" w16cid:durableId="1782146102">
    <w:abstractNumId w:val="72"/>
  </w:num>
  <w:num w:numId="44" w16cid:durableId="3942444">
    <w:abstractNumId w:val="1"/>
  </w:num>
  <w:num w:numId="45" w16cid:durableId="138421973">
    <w:abstractNumId w:val="10"/>
  </w:num>
  <w:num w:numId="46" w16cid:durableId="826439348">
    <w:abstractNumId w:val="24"/>
  </w:num>
  <w:num w:numId="47" w16cid:durableId="1649238413">
    <w:abstractNumId w:val="71"/>
  </w:num>
  <w:num w:numId="48" w16cid:durableId="1255893999">
    <w:abstractNumId w:val="9"/>
  </w:num>
  <w:num w:numId="49" w16cid:durableId="1951356116">
    <w:abstractNumId w:val="57"/>
  </w:num>
  <w:num w:numId="50" w16cid:durableId="331488593">
    <w:abstractNumId w:val="26"/>
  </w:num>
  <w:num w:numId="51" w16cid:durableId="1470324120">
    <w:abstractNumId w:val="27"/>
  </w:num>
  <w:num w:numId="52" w16cid:durableId="2088722949">
    <w:abstractNumId w:val="30"/>
  </w:num>
  <w:num w:numId="53" w16cid:durableId="301430154">
    <w:abstractNumId w:val="22"/>
  </w:num>
  <w:num w:numId="54" w16cid:durableId="135997959">
    <w:abstractNumId w:val="7"/>
  </w:num>
  <w:num w:numId="55" w16cid:durableId="1175000263">
    <w:abstractNumId w:val="3"/>
  </w:num>
  <w:num w:numId="56" w16cid:durableId="664361662">
    <w:abstractNumId w:val="15"/>
  </w:num>
  <w:num w:numId="57" w16cid:durableId="389498072">
    <w:abstractNumId w:val="5"/>
  </w:num>
  <w:num w:numId="58" w16cid:durableId="419181178">
    <w:abstractNumId w:val="33"/>
  </w:num>
  <w:num w:numId="59" w16cid:durableId="2081948684">
    <w:abstractNumId w:val="34"/>
  </w:num>
  <w:num w:numId="60" w16cid:durableId="319120100">
    <w:abstractNumId w:val="14"/>
  </w:num>
  <w:num w:numId="61" w16cid:durableId="625234502">
    <w:abstractNumId w:val="32"/>
  </w:num>
  <w:num w:numId="62" w16cid:durableId="588855331">
    <w:abstractNumId w:val="25"/>
  </w:num>
  <w:num w:numId="63" w16cid:durableId="1061830470">
    <w:abstractNumId w:val="75"/>
  </w:num>
  <w:num w:numId="64" w16cid:durableId="755172127">
    <w:abstractNumId w:val="61"/>
  </w:num>
  <w:num w:numId="65" w16cid:durableId="2077315494">
    <w:abstractNumId w:val="70"/>
  </w:num>
  <w:num w:numId="66" w16cid:durableId="2134126975">
    <w:abstractNumId w:val="35"/>
  </w:num>
  <w:num w:numId="67" w16cid:durableId="1777213754">
    <w:abstractNumId w:val="42"/>
  </w:num>
  <w:num w:numId="68" w16cid:durableId="1342509513">
    <w:abstractNumId w:val="67"/>
  </w:num>
  <w:num w:numId="69" w16cid:durableId="1311205594">
    <w:abstractNumId w:val="53"/>
  </w:num>
  <w:num w:numId="70" w16cid:durableId="1092777583">
    <w:abstractNumId w:val="62"/>
  </w:num>
  <w:num w:numId="71" w16cid:durableId="639574661">
    <w:abstractNumId w:val="48"/>
  </w:num>
  <w:num w:numId="72" w16cid:durableId="1507479736">
    <w:abstractNumId w:val="29"/>
  </w:num>
  <w:num w:numId="73" w16cid:durableId="2078548491">
    <w:abstractNumId w:val="52"/>
  </w:num>
  <w:num w:numId="74" w16cid:durableId="24063908">
    <w:abstractNumId w:val="28"/>
  </w:num>
  <w:num w:numId="75" w16cid:durableId="1156994472">
    <w:abstractNumId w:val="37"/>
  </w:num>
  <w:num w:numId="76" w16cid:durableId="1723165248">
    <w:abstractNumId w:val="38"/>
  </w:num>
  <w:num w:numId="77" w16cid:durableId="1835535363">
    <w:abstractNumId w:val="13"/>
  </w:num>
  <w:num w:numId="78" w16cid:durableId="1010059704">
    <w:abstractNumId w:val="20"/>
  </w:num>
  <w:num w:numId="79" w16cid:durableId="414088636">
    <w:abstractNumId w:val="31"/>
  </w:num>
  <w:num w:numId="80" w16cid:durableId="1254435723">
    <w:abstractNumId w:val="78"/>
  </w:num>
  <w:num w:numId="81" w16cid:durableId="1565801416">
    <w:abstractNumId w:val="7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0MDOwMLAwMzcxMzdS0lEKTi0uzszPAykwrAUAURP1gCwAAAA="/>
  </w:docVars>
  <w:rsids>
    <w:rsidRoot w:val="00B14A79"/>
    <w:rsid w:val="00044FA8"/>
    <w:rsid w:val="0004682D"/>
    <w:rsid w:val="00061509"/>
    <w:rsid w:val="000708CA"/>
    <w:rsid w:val="000912FA"/>
    <w:rsid w:val="000A27A8"/>
    <w:rsid w:val="000A3917"/>
    <w:rsid w:val="000A78A2"/>
    <w:rsid w:val="000B3D52"/>
    <w:rsid w:val="000B62E7"/>
    <w:rsid w:val="000D1807"/>
    <w:rsid w:val="00102BCE"/>
    <w:rsid w:val="00102C21"/>
    <w:rsid w:val="001047F1"/>
    <w:rsid w:val="00107F3C"/>
    <w:rsid w:val="0012003A"/>
    <w:rsid w:val="001306FA"/>
    <w:rsid w:val="00130784"/>
    <w:rsid w:val="001400F3"/>
    <w:rsid w:val="00151C15"/>
    <w:rsid w:val="0015618E"/>
    <w:rsid w:val="00171F21"/>
    <w:rsid w:val="0017673F"/>
    <w:rsid w:val="00184161"/>
    <w:rsid w:val="00190F90"/>
    <w:rsid w:val="001A4DCF"/>
    <w:rsid w:val="001A77C9"/>
    <w:rsid w:val="001B34EC"/>
    <w:rsid w:val="001C2CEF"/>
    <w:rsid w:val="001C4E2E"/>
    <w:rsid w:val="001D354A"/>
    <w:rsid w:val="001F10B8"/>
    <w:rsid w:val="001F6BE2"/>
    <w:rsid w:val="00212D75"/>
    <w:rsid w:val="00213EAC"/>
    <w:rsid w:val="002144EA"/>
    <w:rsid w:val="0021676D"/>
    <w:rsid w:val="00220017"/>
    <w:rsid w:val="002254C6"/>
    <w:rsid w:val="0023341D"/>
    <w:rsid w:val="00251905"/>
    <w:rsid w:val="002704CE"/>
    <w:rsid w:val="00272638"/>
    <w:rsid w:val="0028436C"/>
    <w:rsid w:val="002A5B90"/>
    <w:rsid w:val="002B3B32"/>
    <w:rsid w:val="002B3DB3"/>
    <w:rsid w:val="002C0981"/>
    <w:rsid w:val="002D1A16"/>
    <w:rsid w:val="002E7BED"/>
    <w:rsid w:val="002F0508"/>
    <w:rsid w:val="002F571F"/>
    <w:rsid w:val="002F5880"/>
    <w:rsid w:val="00300CC7"/>
    <w:rsid w:val="00307FD1"/>
    <w:rsid w:val="00307FF6"/>
    <w:rsid w:val="003613E9"/>
    <w:rsid w:val="00367A62"/>
    <w:rsid w:val="00384C73"/>
    <w:rsid w:val="003860D8"/>
    <w:rsid w:val="003914D3"/>
    <w:rsid w:val="00392CF1"/>
    <w:rsid w:val="003C26D4"/>
    <w:rsid w:val="003C607D"/>
    <w:rsid w:val="003D4883"/>
    <w:rsid w:val="003F2D6D"/>
    <w:rsid w:val="00410DEF"/>
    <w:rsid w:val="00416D23"/>
    <w:rsid w:val="00423B11"/>
    <w:rsid w:val="004567D9"/>
    <w:rsid w:val="00460527"/>
    <w:rsid w:val="00474D5E"/>
    <w:rsid w:val="004751AF"/>
    <w:rsid w:val="00496819"/>
    <w:rsid w:val="004A614B"/>
    <w:rsid w:val="004C6E24"/>
    <w:rsid w:val="004D6BBE"/>
    <w:rsid w:val="004E5EAC"/>
    <w:rsid w:val="004F3D5C"/>
    <w:rsid w:val="004F5756"/>
    <w:rsid w:val="0050013C"/>
    <w:rsid w:val="005051AB"/>
    <w:rsid w:val="00513C46"/>
    <w:rsid w:val="00514D6C"/>
    <w:rsid w:val="00526627"/>
    <w:rsid w:val="00526938"/>
    <w:rsid w:val="0058142B"/>
    <w:rsid w:val="00592E41"/>
    <w:rsid w:val="005A1AE3"/>
    <w:rsid w:val="005D75B8"/>
    <w:rsid w:val="005E08F2"/>
    <w:rsid w:val="00604F85"/>
    <w:rsid w:val="00615B25"/>
    <w:rsid w:val="00620F67"/>
    <w:rsid w:val="006751B3"/>
    <w:rsid w:val="006E749E"/>
    <w:rsid w:val="006F2B0A"/>
    <w:rsid w:val="00700331"/>
    <w:rsid w:val="007003F0"/>
    <w:rsid w:val="0071593C"/>
    <w:rsid w:val="00727476"/>
    <w:rsid w:val="00742BAE"/>
    <w:rsid w:val="007444D4"/>
    <w:rsid w:val="00750926"/>
    <w:rsid w:val="00752AC2"/>
    <w:rsid w:val="00790995"/>
    <w:rsid w:val="00795779"/>
    <w:rsid w:val="00796FEC"/>
    <w:rsid w:val="00797737"/>
    <w:rsid w:val="007C74FC"/>
    <w:rsid w:val="007D0C83"/>
    <w:rsid w:val="007E24D0"/>
    <w:rsid w:val="007E2C3A"/>
    <w:rsid w:val="007F69DB"/>
    <w:rsid w:val="00815DED"/>
    <w:rsid w:val="008243B2"/>
    <w:rsid w:val="008304D2"/>
    <w:rsid w:val="0083495E"/>
    <w:rsid w:val="00837102"/>
    <w:rsid w:val="008657B1"/>
    <w:rsid w:val="00865E53"/>
    <w:rsid w:val="00881FAA"/>
    <w:rsid w:val="008826A7"/>
    <w:rsid w:val="00886877"/>
    <w:rsid w:val="00887E53"/>
    <w:rsid w:val="008A2444"/>
    <w:rsid w:val="008A40E8"/>
    <w:rsid w:val="008B09F5"/>
    <w:rsid w:val="008C4C31"/>
    <w:rsid w:val="008E139C"/>
    <w:rsid w:val="008F5B0A"/>
    <w:rsid w:val="009236E8"/>
    <w:rsid w:val="009254DA"/>
    <w:rsid w:val="00931DF0"/>
    <w:rsid w:val="00953B22"/>
    <w:rsid w:val="00954464"/>
    <w:rsid w:val="00962E1E"/>
    <w:rsid w:val="0098221D"/>
    <w:rsid w:val="00992B06"/>
    <w:rsid w:val="00993C4A"/>
    <w:rsid w:val="0099466A"/>
    <w:rsid w:val="009B11CF"/>
    <w:rsid w:val="009B5514"/>
    <w:rsid w:val="009C78CF"/>
    <w:rsid w:val="009E26CB"/>
    <w:rsid w:val="009E2A8C"/>
    <w:rsid w:val="009F6E37"/>
    <w:rsid w:val="00A144CA"/>
    <w:rsid w:val="00A22EEF"/>
    <w:rsid w:val="00A3105C"/>
    <w:rsid w:val="00A469FA"/>
    <w:rsid w:val="00A5173D"/>
    <w:rsid w:val="00A57EE6"/>
    <w:rsid w:val="00A61A71"/>
    <w:rsid w:val="00A70EB8"/>
    <w:rsid w:val="00A77CBA"/>
    <w:rsid w:val="00A83F4E"/>
    <w:rsid w:val="00A9522B"/>
    <w:rsid w:val="00AC322B"/>
    <w:rsid w:val="00AE0D8F"/>
    <w:rsid w:val="00AE2E3B"/>
    <w:rsid w:val="00AF7E44"/>
    <w:rsid w:val="00B00A75"/>
    <w:rsid w:val="00B017F7"/>
    <w:rsid w:val="00B0241D"/>
    <w:rsid w:val="00B026A1"/>
    <w:rsid w:val="00B0703B"/>
    <w:rsid w:val="00B1098C"/>
    <w:rsid w:val="00B1231C"/>
    <w:rsid w:val="00B14A79"/>
    <w:rsid w:val="00B15B1B"/>
    <w:rsid w:val="00B37497"/>
    <w:rsid w:val="00B619B2"/>
    <w:rsid w:val="00B7150E"/>
    <w:rsid w:val="00B95E1D"/>
    <w:rsid w:val="00BA6557"/>
    <w:rsid w:val="00BB5E86"/>
    <w:rsid w:val="00BB5EF0"/>
    <w:rsid w:val="00BD13D7"/>
    <w:rsid w:val="00BD6168"/>
    <w:rsid w:val="00BE34DD"/>
    <w:rsid w:val="00C25DB5"/>
    <w:rsid w:val="00C46112"/>
    <w:rsid w:val="00C64451"/>
    <w:rsid w:val="00C65EEA"/>
    <w:rsid w:val="00C755EA"/>
    <w:rsid w:val="00C946A3"/>
    <w:rsid w:val="00CA4883"/>
    <w:rsid w:val="00CA5AAE"/>
    <w:rsid w:val="00CC276F"/>
    <w:rsid w:val="00CC38D5"/>
    <w:rsid w:val="00CC4F50"/>
    <w:rsid w:val="00CC564B"/>
    <w:rsid w:val="00CD1E45"/>
    <w:rsid w:val="00CE4A3B"/>
    <w:rsid w:val="00D2465B"/>
    <w:rsid w:val="00D262EC"/>
    <w:rsid w:val="00D3410A"/>
    <w:rsid w:val="00D35672"/>
    <w:rsid w:val="00D36979"/>
    <w:rsid w:val="00D36BEE"/>
    <w:rsid w:val="00D47345"/>
    <w:rsid w:val="00D75CE1"/>
    <w:rsid w:val="00D82B0A"/>
    <w:rsid w:val="00DB199D"/>
    <w:rsid w:val="00DE2AB6"/>
    <w:rsid w:val="00DE598A"/>
    <w:rsid w:val="00DF6822"/>
    <w:rsid w:val="00E1155C"/>
    <w:rsid w:val="00E15A87"/>
    <w:rsid w:val="00E16EA0"/>
    <w:rsid w:val="00E370B6"/>
    <w:rsid w:val="00E44056"/>
    <w:rsid w:val="00E5049F"/>
    <w:rsid w:val="00E63881"/>
    <w:rsid w:val="00E64EED"/>
    <w:rsid w:val="00E6703E"/>
    <w:rsid w:val="00E70CC1"/>
    <w:rsid w:val="00E7211F"/>
    <w:rsid w:val="00E80ADC"/>
    <w:rsid w:val="00E87E1C"/>
    <w:rsid w:val="00EE10DC"/>
    <w:rsid w:val="00EE173D"/>
    <w:rsid w:val="00EF58F7"/>
    <w:rsid w:val="00F103C2"/>
    <w:rsid w:val="00F20F8D"/>
    <w:rsid w:val="00F37840"/>
    <w:rsid w:val="00F563EA"/>
    <w:rsid w:val="00F57767"/>
    <w:rsid w:val="00F60FD7"/>
    <w:rsid w:val="00F62266"/>
    <w:rsid w:val="00F86B74"/>
    <w:rsid w:val="00F90B89"/>
    <w:rsid w:val="00F9160C"/>
    <w:rsid w:val="00F92E3B"/>
    <w:rsid w:val="00F9787A"/>
    <w:rsid w:val="00FA1B58"/>
    <w:rsid w:val="00FE4638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978DC"/>
  <w15:docId w15:val="{667AEF9A-49C5-4B5E-91E6-44B989A8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A79"/>
    <w:pPr>
      <w:keepNext/>
      <w:keepLines/>
      <w:spacing w:before="600"/>
      <w:outlineLvl w:val="0"/>
    </w:pPr>
    <w:rPr>
      <w:rFonts w:ascii="Arial" w:eastAsia="Times New Roman" w:hAnsi="Arial" w:cs="Times New Roman"/>
      <w:b/>
      <w:bCs/>
      <w:sz w:val="24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A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9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A79"/>
    <w:rPr>
      <w:rFonts w:ascii="Arial" w:eastAsia="Times New Roman" w:hAnsi="Arial" w:cs="Times New Roman"/>
      <w:b/>
      <w:bCs/>
      <w:sz w:val="24"/>
      <w:szCs w:val="28"/>
      <w:lang w:val="en-GB"/>
    </w:rPr>
  </w:style>
  <w:style w:type="paragraph" w:customStyle="1" w:styleId="Level2">
    <w:name w:val="Level 2"/>
    <w:basedOn w:val="Heading2"/>
    <w:link w:val="Level2Char"/>
    <w:autoRedefine/>
    <w:qFormat/>
    <w:rsid w:val="00B14A79"/>
    <w:pPr>
      <w:spacing w:line="240" w:lineRule="auto"/>
    </w:pPr>
    <w:rPr>
      <w:rFonts w:ascii="Arial" w:eastAsia="Times New Roman" w:hAnsi="Arial" w:cs="Times New Roman"/>
      <w:color w:val="auto"/>
      <w:sz w:val="22"/>
      <w:lang w:val="en-GB"/>
    </w:rPr>
  </w:style>
  <w:style w:type="character" w:customStyle="1" w:styleId="Level2Char">
    <w:name w:val="Level 2 Char"/>
    <w:link w:val="Level2"/>
    <w:rsid w:val="00B14A79"/>
    <w:rPr>
      <w:rFonts w:ascii="Arial" w:eastAsia="Times New Roman" w:hAnsi="Arial" w:cs="Times New Roman"/>
      <w:b/>
      <w:bCs/>
      <w:szCs w:val="26"/>
      <w:lang w:val="en-GB"/>
    </w:rPr>
  </w:style>
  <w:style w:type="character" w:styleId="Strong">
    <w:name w:val="Strong"/>
    <w:qFormat/>
    <w:rsid w:val="00B14A79"/>
    <w:rPr>
      <w:rFonts w:ascii="Arial" w:hAnsi="Arial"/>
      <w:bCs/>
      <w:color w:val="auto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A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10DEF"/>
    <w:pPr>
      <w:ind w:left="720"/>
      <w:contextualSpacing/>
    </w:pPr>
  </w:style>
  <w:style w:type="paragraph" w:styleId="NoSpacing">
    <w:name w:val="No Spacing"/>
    <w:uiPriority w:val="1"/>
    <w:qFormat/>
    <w:rsid w:val="00B374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74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749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43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5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DED"/>
  </w:style>
  <w:style w:type="paragraph" w:styleId="Footer">
    <w:name w:val="footer"/>
    <w:basedOn w:val="Normal"/>
    <w:link w:val="FooterChar"/>
    <w:uiPriority w:val="99"/>
    <w:unhideWhenUsed/>
    <w:rsid w:val="00815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DED"/>
  </w:style>
  <w:style w:type="paragraph" w:styleId="NormalWeb">
    <w:name w:val="Normal (Web)"/>
    <w:basedOn w:val="Normal"/>
    <w:uiPriority w:val="99"/>
    <w:rsid w:val="0017673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M58">
    <w:name w:val="CM58"/>
    <w:basedOn w:val="Normal"/>
    <w:next w:val="Normal"/>
    <w:uiPriority w:val="99"/>
    <w:rsid w:val="00B61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def">
    <w:name w:val="def"/>
    <w:basedOn w:val="DefaultParagraphFont"/>
    <w:rsid w:val="00B619B2"/>
  </w:style>
  <w:style w:type="paragraph" w:styleId="BodyText3">
    <w:name w:val="Body Text 3"/>
    <w:basedOn w:val="Normal"/>
    <w:link w:val="BodyText3Char"/>
    <w:rsid w:val="00474D5E"/>
    <w:pPr>
      <w:suppressAutoHyphens/>
      <w:autoSpaceDN w:val="0"/>
      <w:spacing w:after="200"/>
      <w:textAlignment w:val="baseline"/>
    </w:pPr>
    <w:rPr>
      <w:rFonts w:ascii="Arial" w:eastAsia="Arial" w:hAnsi="Arial" w:cs="Arial"/>
      <w:kern w:val="3"/>
      <w:sz w:val="24"/>
      <w:lang w:val="en-GB" w:bidi="en-US"/>
    </w:rPr>
  </w:style>
  <w:style w:type="character" w:customStyle="1" w:styleId="BodyText3Char">
    <w:name w:val="Body Text 3 Char"/>
    <w:basedOn w:val="DefaultParagraphFont"/>
    <w:link w:val="BodyText3"/>
    <w:rsid w:val="00474D5E"/>
    <w:rPr>
      <w:rFonts w:ascii="Arial" w:eastAsia="Arial" w:hAnsi="Arial" w:cs="Arial"/>
      <w:kern w:val="3"/>
      <w:sz w:val="24"/>
      <w:lang w:val="en-GB" w:bidi="en-US"/>
    </w:rPr>
  </w:style>
  <w:style w:type="character" w:customStyle="1" w:styleId="link-internal">
    <w:name w:val="link-internal"/>
    <w:basedOn w:val="DefaultParagraphFont"/>
    <w:rsid w:val="00474D5E"/>
  </w:style>
  <w:style w:type="paragraph" w:customStyle="1" w:styleId="Standard">
    <w:name w:val="Standard"/>
    <w:rsid w:val="00474D5E"/>
    <w:pPr>
      <w:suppressAutoHyphens/>
      <w:autoSpaceDN w:val="0"/>
      <w:spacing w:after="200"/>
      <w:textAlignment w:val="baseline"/>
    </w:pPr>
    <w:rPr>
      <w:rFonts w:ascii="Calibri" w:eastAsia="Times New Roman" w:hAnsi="Calibri" w:cs="Times New Roman"/>
      <w:kern w:val="3"/>
      <w:lang w:bidi="en-US"/>
    </w:rPr>
  </w:style>
  <w:style w:type="table" w:styleId="TableGrid">
    <w:name w:val="Table Grid"/>
    <w:basedOn w:val="TableNormal"/>
    <w:uiPriority w:val="39"/>
    <w:rsid w:val="00474D5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8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102C21"/>
    <w:pPr>
      <w:spacing w:before="119" w:after="0" w:line="278" w:lineRule="atLeast"/>
      <w:jc w:val="both"/>
    </w:pPr>
    <w:rPr>
      <w:rFonts w:ascii="Times New Roman" w:eastAsia="Times New Roman" w:hAnsi="Times New Roman" w:cs="Times New Roman"/>
      <w:sz w:val="28"/>
      <w:szCs w:val="2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2C21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2C21"/>
  </w:style>
  <w:style w:type="paragraph" w:styleId="BodyText">
    <w:name w:val="Body Text"/>
    <w:basedOn w:val="Normal"/>
    <w:link w:val="BodyTextChar"/>
    <w:uiPriority w:val="99"/>
    <w:unhideWhenUsed/>
    <w:rsid w:val="00102C21"/>
  </w:style>
  <w:style w:type="character" w:customStyle="1" w:styleId="BodyTextChar">
    <w:name w:val="Body Text Char"/>
    <w:basedOn w:val="DefaultParagraphFont"/>
    <w:link w:val="BodyText"/>
    <w:uiPriority w:val="99"/>
    <w:rsid w:val="00102C21"/>
  </w:style>
  <w:style w:type="character" w:customStyle="1" w:styleId="Heading3Char">
    <w:name w:val="Heading 3 Char"/>
    <w:basedOn w:val="DefaultParagraphFont"/>
    <w:link w:val="Heading3"/>
    <w:uiPriority w:val="9"/>
    <w:semiHidden/>
    <w:rsid w:val="007909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rod-title2">
    <w:name w:val="prod-title2"/>
    <w:rsid w:val="00700331"/>
  </w:style>
  <w:style w:type="character" w:customStyle="1" w:styleId="published-date4">
    <w:name w:val="published-date4"/>
    <w:rsid w:val="00700331"/>
  </w:style>
  <w:style w:type="paragraph" w:customStyle="1" w:styleId="WPBullet">
    <w:name w:val="W&amp;P Bullet"/>
    <w:basedOn w:val="Normal"/>
    <w:qFormat/>
    <w:rsid w:val="00423B11"/>
    <w:pPr>
      <w:numPr>
        <w:numId w:val="2"/>
      </w:numPr>
      <w:tabs>
        <w:tab w:val="num" w:pos="720"/>
      </w:tabs>
      <w:spacing w:before="120" w:line="23" w:lineRule="atLeast"/>
      <w:ind w:left="360"/>
      <w:contextualSpacing/>
    </w:pPr>
    <w:rPr>
      <w:rFonts w:ascii="Arial" w:eastAsia="Times New Roman" w:hAnsi="Arial" w:cs="Arial"/>
      <w:sz w:val="24"/>
      <w:szCs w:val="24"/>
      <w:lang w:val="en-GB" w:eastAsia="sk-SK"/>
    </w:rPr>
  </w:style>
  <w:style w:type="paragraph" w:customStyle="1" w:styleId="WPHeading">
    <w:name w:val="W&amp;P Heading"/>
    <w:basedOn w:val="Heading1"/>
    <w:qFormat/>
    <w:rsid w:val="00CC276F"/>
    <w:pPr>
      <w:widowControl w:val="0"/>
      <w:suppressAutoHyphens/>
      <w:autoSpaceDN w:val="0"/>
      <w:spacing w:before="360" w:line="23" w:lineRule="atLeast"/>
      <w:textAlignment w:val="baseline"/>
    </w:pPr>
    <w:rPr>
      <w:rFonts w:eastAsia="HGGothicM" w:cs="Arial"/>
      <w:color w:val="6076B4"/>
      <w:szCs w:val="24"/>
      <w:lang w:val="en-US" w:eastAsia="en-GB" w:bidi="en-US"/>
    </w:rPr>
  </w:style>
  <w:style w:type="paragraph" w:customStyle="1" w:styleId="WPHeading2">
    <w:name w:val="W&amp;P Heading 2"/>
    <w:basedOn w:val="WPHeading"/>
    <w:qFormat/>
    <w:rsid w:val="00CC276F"/>
    <w:rPr>
      <w:color w:val="auto"/>
    </w:rPr>
  </w:style>
  <w:style w:type="paragraph" w:customStyle="1" w:styleId="WPHeading3">
    <w:name w:val="W&amp;P Heading 3"/>
    <w:basedOn w:val="WPHeading2"/>
    <w:qFormat/>
    <w:rsid w:val="00CC276F"/>
    <w:rPr>
      <w:i/>
    </w:rPr>
  </w:style>
  <w:style w:type="paragraph" w:customStyle="1" w:styleId="WPParagraph">
    <w:name w:val="W&amp;P Paragraph"/>
    <w:basedOn w:val="Normal"/>
    <w:qFormat/>
    <w:rsid w:val="00CC276F"/>
    <w:pPr>
      <w:spacing w:before="120" w:line="23" w:lineRule="atLeast"/>
    </w:pPr>
    <w:rPr>
      <w:rFonts w:ascii="Arial" w:eastAsia="Times New Roman" w:hAnsi="Arial" w:cs="Arial"/>
      <w:noProof/>
      <w:sz w:val="24"/>
      <w:szCs w:val="24"/>
      <w:lang w:val="en-GB" w:eastAsia="sk-SK"/>
    </w:rPr>
  </w:style>
  <w:style w:type="paragraph" w:customStyle="1" w:styleId="Paragraph">
    <w:name w:val="Paragraph"/>
    <w:basedOn w:val="Normal"/>
    <w:qFormat/>
    <w:rsid w:val="00CC276F"/>
    <w:pPr>
      <w:spacing w:before="120" w:line="23" w:lineRule="atLeast"/>
      <w:jc w:val="both"/>
    </w:pPr>
    <w:rPr>
      <w:rFonts w:ascii="Arial" w:eastAsia="Times New Roman" w:hAnsi="Arial" w:cs="Arial"/>
      <w:noProof/>
      <w:sz w:val="24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about:blan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about:blan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about:blank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about:blank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a91de-cd2d-4d57-bbd1-50f17b14a644" xsi:nil="true"/>
    <lcf76f155ced4ddcb4097134ff3c332f xmlns="f8b8b0cf-09ea-4c04-882c-4c71cdc8bdd3">
      <Terms xmlns="http://schemas.microsoft.com/office/infopath/2007/PartnerControls"/>
    </lcf76f155ced4ddcb4097134ff3c332f>
    <_dlc_DocId xmlns="9daa91de-cd2d-4d57-bbd1-50f17b14a644">DKHXZA7SSHQN-167323429-701415</_dlc_DocId>
    <_dlc_DocIdUrl xmlns="9daa91de-cd2d-4d57-bbd1-50f17b14a644">
      <Url>https://wandpassessment.sharepoint.com/sites/Data/_layouts/15/DocIdRedir.aspx?ID=DKHXZA7SSHQN-167323429-701415</Url>
      <Description>DKHXZA7SSHQN-167323429-701415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4F80D66590D4BAC5A02C0106D30B2" ma:contentTypeVersion="15" ma:contentTypeDescription="Create a new document." ma:contentTypeScope="" ma:versionID="f9d93ab76da626ac2e7c6578ebca3f55">
  <xsd:schema xmlns:xsd="http://www.w3.org/2001/XMLSchema" xmlns:xs="http://www.w3.org/2001/XMLSchema" xmlns:p="http://schemas.microsoft.com/office/2006/metadata/properties" xmlns:ns2="9daa91de-cd2d-4d57-bbd1-50f17b14a644" xmlns:ns3="f8b8b0cf-09ea-4c04-882c-4c71cdc8bdd3" targetNamespace="http://schemas.microsoft.com/office/2006/metadata/properties" ma:root="true" ma:fieldsID="0f40e0d64f49f460fdadb80705ed8941" ns2:_="" ns3:_="">
    <xsd:import namespace="9daa91de-cd2d-4d57-bbd1-50f17b14a644"/>
    <xsd:import namespace="f8b8b0cf-09ea-4c04-882c-4c71cdc8bd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a91de-cd2d-4d57-bbd1-50f17b14a6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b7d7c6b-78ce-4af4-9a93-6ad2c5817a05}" ma:internalName="TaxCatchAll" ma:showField="CatchAllData" ma:web="9daa91de-cd2d-4d57-bbd1-50f17b14a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8b0cf-09ea-4c04-882c-4c71cdc8b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3938799-c8b0-4295-b1ef-119065073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4D2377-1761-46CC-9CEB-85E3B966CC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014366-0B69-4A41-8575-8A041EA1C9E4}">
  <ds:schemaRefs>
    <ds:schemaRef ds:uri="http://schemas.microsoft.com/office/2006/metadata/properties"/>
    <ds:schemaRef ds:uri="http://schemas.microsoft.com/office/infopath/2007/PartnerControls"/>
    <ds:schemaRef ds:uri="9daa91de-cd2d-4d57-bbd1-50f17b14a644"/>
    <ds:schemaRef ds:uri="f8b8b0cf-09ea-4c04-882c-4c71cdc8bdd3"/>
  </ds:schemaRefs>
</ds:datastoreItem>
</file>

<file path=customXml/itemProps3.xml><?xml version="1.0" encoding="utf-8"?>
<ds:datastoreItem xmlns:ds="http://schemas.openxmlformats.org/officeDocument/2006/customXml" ds:itemID="{E597C0F4-03FB-4CC9-B352-FB43F1C74B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71DC53-2625-4D6C-92C5-B0FD5A14F6E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D72401F-1F12-4BF1-9C26-9E5032F1F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a91de-cd2d-4d57-bbd1-50f17b14a644"/>
    <ds:schemaRef ds:uri="f8b8b0cf-09ea-4c04-882c-4c71cdc8b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Promise Care</cp:lastModifiedBy>
  <cp:revision>3</cp:revision>
  <dcterms:created xsi:type="dcterms:W3CDTF">2023-09-05T11:38:00Z</dcterms:created>
  <dcterms:modified xsi:type="dcterms:W3CDTF">2023-09-05T11:40:00Z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0x0101002CD4F80D66590D4BAC5A02C0106D30B2</vt:lpwstr>
  </property>
  <property fmtid="{D5CDD505-2E9C-101B-9397-08002B2CF9AE}" pid="3" name="Order">
    <vt:r8>5561400</vt:r8>
  </property>
  <property fmtid="{D5CDD505-2E9C-101B-9397-08002B2CF9AE}" pid="4" name="_dlc_DocIdItemGuid">
    <vt:lpwstr>70bd02f9-d65f-44a4-b29f-2b4ece00a288</vt:lpwstr>
  </property>
  <property fmtid="{D5CDD505-2E9C-101B-9397-08002B2CF9AE}" pid="5" name="MediaServiceImageTags">
    <vt:lpwstr/>
  </property>
  <property fmtid="{D5CDD505-2E9C-101B-9397-08002B2CF9AE}" pid="6" name="GrammarlyDocumentId">
    <vt:lpwstr>f5c19d9df375728d2e841841dd63da263144ae93e3340bb1a5b1b345498e02c3</vt:lpwstr>
  </property>
</Properties>
</file>