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4417" w14:textId="77777777" w:rsidR="00AC3717" w:rsidRDefault="00DD36A5" w:rsidP="00DD36A5">
      <w:pPr>
        <w:keepNext/>
        <w:keepLines/>
        <w:spacing w:after="0" w:line="240" w:lineRule="auto"/>
        <w:jc w:val="center"/>
        <w:outlineLvl w:val="0"/>
        <w:rPr>
          <w:rFonts w:ascii="Arial" w:eastAsia="Times New Roman" w:hAnsi="Arial" w:cs="Times New Roman"/>
          <w:b/>
          <w:bCs/>
          <w:sz w:val="28"/>
          <w:szCs w:val="28"/>
          <w:lang w:val="en-GB"/>
        </w:rPr>
      </w:pPr>
      <w:bookmarkStart w:id="0" w:name="Advocacy"/>
      <w:bookmarkStart w:id="1" w:name="_top"/>
      <w:bookmarkStart w:id="2" w:name="_Toc299374022"/>
      <w:bookmarkEnd w:id="0"/>
      <w:bookmarkEnd w:id="1"/>
      <w:r>
        <w:rPr>
          <w:rFonts w:ascii="Arial" w:eastAsia="Times New Roman" w:hAnsi="Arial" w:cs="Times New Roman"/>
          <w:b/>
          <w:bCs/>
          <w:sz w:val="28"/>
          <w:szCs w:val="28"/>
          <w:lang w:val="en-GB"/>
        </w:rPr>
        <w:br/>
      </w:r>
    </w:p>
    <w:p w14:paraId="21E4D05B" w14:textId="77777777" w:rsidR="00AC3717" w:rsidRPr="003A677A" w:rsidRDefault="00AC3717" w:rsidP="00AC3717">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1B065565" wp14:editId="5D06C720">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621A0388" w14:textId="77777777" w:rsidR="00AC3717" w:rsidRDefault="00AC3717" w:rsidP="00AC3717">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05C94687" w14:textId="77777777" w:rsidR="00AC3717" w:rsidRDefault="00AC3717" w:rsidP="00AC3717">
      <w:pPr>
        <w:keepNext/>
        <w:keepLines/>
        <w:spacing w:after="0" w:line="240" w:lineRule="auto"/>
        <w:outlineLvl w:val="0"/>
        <w:rPr>
          <w:rFonts w:ascii="Arial" w:eastAsia="Times New Roman" w:hAnsi="Arial" w:cs="Times New Roman"/>
          <w:b/>
          <w:bCs/>
          <w:sz w:val="28"/>
          <w:szCs w:val="28"/>
          <w:lang w:val="en-GB"/>
        </w:rPr>
      </w:pPr>
    </w:p>
    <w:p w14:paraId="09F83C66" w14:textId="29C8E92E" w:rsidR="00410DEF" w:rsidRPr="009236E8" w:rsidRDefault="00AC3717" w:rsidP="00AC3717">
      <w:pPr>
        <w:keepNext/>
        <w:keepLines/>
        <w:spacing w:after="0" w:line="240" w:lineRule="auto"/>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 xml:space="preserve">                                         </w:t>
      </w:r>
      <w:r w:rsidR="0058142B" w:rsidRPr="000B62E7">
        <w:rPr>
          <w:rFonts w:ascii="Arial" w:eastAsia="Times New Roman" w:hAnsi="Arial" w:cs="Times New Roman"/>
          <w:b/>
          <w:bCs/>
          <w:sz w:val="28"/>
          <w:szCs w:val="28"/>
          <w:lang w:val="en-GB"/>
        </w:rPr>
        <w:t>A</w:t>
      </w:r>
      <w:bookmarkEnd w:id="2"/>
      <w:r w:rsidR="001F10B8">
        <w:rPr>
          <w:rFonts w:ascii="Arial" w:eastAsia="Times New Roman" w:hAnsi="Arial" w:cs="Times New Roman"/>
          <w:b/>
          <w:bCs/>
          <w:sz w:val="28"/>
          <w:szCs w:val="28"/>
          <w:lang w:val="en-GB"/>
        </w:rPr>
        <w:t>D</w:t>
      </w:r>
      <w:r w:rsidR="005D72C8">
        <w:rPr>
          <w:rFonts w:ascii="Arial" w:eastAsia="Times New Roman" w:hAnsi="Arial" w:cs="Times New Roman"/>
          <w:b/>
          <w:bCs/>
          <w:sz w:val="28"/>
          <w:szCs w:val="28"/>
          <w:lang w:val="en-GB"/>
        </w:rPr>
        <w:t>VOCACY</w:t>
      </w:r>
    </w:p>
    <w:p w14:paraId="42C6E9DA" w14:textId="16C93454" w:rsidR="00A61A71" w:rsidRDefault="00B14A79" w:rsidP="00836D51">
      <w:pPr>
        <w:pStyle w:val="Heading1"/>
      </w:pPr>
      <w:r w:rsidRPr="00B14A79">
        <w:t>Scope</w:t>
      </w:r>
    </w:p>
    <w:p w14:paraId="3FE92DFE" w14:textId="6E3D86E9" w:rsidR="00B7150E" w:rsidRPr="00B27265" w:rsidRDefault="00B7150E" w:rsidP="00B27265">
      <w:pPr>
        <w:pStyle w:val="List1"/>
        <w:rPr>
          <w:rFonts w:eastAsia="HGGothicM"/>
          <w:b/>
          <w:bCs/>
          <w:lang w:bidi="en-US"/>
        </w:rPr>
      </w:pPr>
      <w:r w:rsidRPr="00B27265">
        <w:rPr>
          <w:rFonts w:eastAsia="HGGothicM"/>
          <w:b/>
          <w:bCs/>
          <w:lang w:bidi="en-US"/>
        </w:rPr>
        <w:t>Policy Statement</w:t>
      </w:r>
    </w:p>
    <w:p w14:paraId="496D84EA" w14:textId="5A277A24" w:rsidR="00833D99" w:rsidRPr="00833D99" w:rsidRDefault="00833D99" w:rsidP="00B27265">
      <w:pPr>
        <w:pStyle w:val="List1"/>
        <w:rPr>
          <w:rFonts w:eastAsia="HGGothicM"/>
          <w:lang w:bidi="en-US"/>
        </w:rPr>
      </w:pPr>
      <w:r w:rsidRPr="00833D99">
        <w:rPr>
          <w:rFonts w:eastAsia="HGGothicM"/>
          <w:lang w:bidi="en-US"/>
        </w:rPr>
        <w:t>The Care Act 2014</w:t>
      </w:r>
    </w:p>
    <w:p w14:paraId="21E3EA7C" w14:textId="378595CA" w:rsidR="00B7150E" w:rsidRPr="00B27265" w:rsidRDefault="00B7150E" w:rsidP="00B27265">
      <w:pPr>
        <w:pStyle w:val="List1"/>
        <w:rPr>
          <w:rFonts w:eastAsia="HGGothicM"/>
          <w:b/>
          <w:bCs/>
          <w:lang w:bidi="en-US"/>
        </w:rPr>
      </w:pPr>
      <w:r w:rsidRPr="00B27265">
        <w:rPr>
          <w:rFonts w:eastAsia="HGGothicM"/>
          <w:b/>
          <w:bCs/>
          <w:lang w:bidi="en-US"/>
        </w:rPr>
        <w:t>The Policy</w:t>
      </w:r>
    </w:p>
    <w:p w14:paraId="55490449" w14:textId="741E77CF" w:rsidR="00932AD3" w:rsidRPr="00287124" w:rsidRDefault="00833D99" w:rsidP="00932AD3">
      <w:pPr>
        <w:pStyle w:val="List1"/>
        <w:rPr>
          <w:rFonts w:eastAsia="HGGothicM"/>
          <w:lang w:bidi="en-US"/>
        </w:rPr>
      </w:pPr>
      <w:r w:rsidRPr="00287124">
        <w:rPr>
          <w:rFonts w:eastAsia="HGGothicM"/>
          <w:lang w:bidi="en-US"/>
        </w:rPr>
        <w:t>Defining Advocacy</w:t>
      </w:r>
      <w:r w:rsidR="00932AD3" w:rsidRPr="00287124">
        <w:rPr>
          <w:rFonts w:eastAsia="HGGothicM"/>
          <w:lang w:bidi="en-US"/>
        </w:rPr>
        <w:t xml:space="preserve"> </w:t>
      </w:r>
    </w:p>
    <w:p w14:paraId="74402A4E" w14:textId="4FE72607" w:rsidR="00932AD3" w:rsidRPr="00287124" w:rsidRDefault="00932AD3" w:rsidP="00932AD3">
      <w:pPr>
        <w:pStyle w:val="List1"/>
        <w:rPr>
          <w:rFonts w:eastAsia="HGGothicM"/>
          <w:lang w:bidi="en-US"/>
        </w:rPr>
      </w:pPr>
      <w:r w:rsidRPr="00287124">
        <w:rPr>
          <w:rFonts w:eastAsia="HGGothicM"/>
          <w:lang w:bidi="en-US"/>
        </w:rPr>
        <w:t>Improving Access to Advocacy</w:t>
      </w:r>
    </w:p>
    <w:p w14:paraId="4EB86569" w14:textId="657D0D4E" w:rsidR="00B179BE" w:rsidRPr="00287124" w:rsidRDefault="00B179BE" w:rsidP="00B27265">
      <w:pPr>
        <w:pStyle w:val="List1"/>
        <w:rPr>
          <w:rFonts w:eastAsia="HGGothicM"/>
          <w:lang w:bidi="en-US"/>
        </w:rPr>
      </w:pPr>
      <w:bookmarkStart w:id="3" w:name="_Hlk53505764"/>
      <w:r w:rsidRPr="00287124">
        <w:rPr>
          <w:rFonts w:eastAsia="HGGothicM"/>
          <w:lang w:bidi="en-US"/>
        </w:rPr>
        <w:t xml:space="preserve">Our </w:t>
      </w:r>
      <w:r w:rsidR="007F25D1" w:rsidRPr="00287124">
        <w:rPr>
          <w:rFonts w:eastAsia="HGGothicM"/>
          <w:lang w:bidi="en-US"/>
        </w:rPr>
        <w:t>Service User</w:t>
      </w:r>
      <w:r w:rsidRPr="00287124">
        <w:rPr>
          <w:rFonts w:eastAsia="HGGothicM"/>
          <w:lang w:bidi="en-US"/>
        </w:rPr>
        <w:t>’s Access to Advocacy</w:t>
      </w:r>
    </w:p>
    <w:p w14:paraId="27962EFF" w14:textId="57F1473D" w:rsidR="00833D99" w:rsidRPr="00833D99" w:rsidRDefault="00833D99" w:rsidP="00B27265">
      <w:pPr>
        <w:pStyle w:val="List1"/>
        <w:rPr>
          <w:rFonts w:eastAsia="HGGothicM"/>
          <w:lang w:bidi="en-US"/>
        </w:rPr>
      </w:pPr>
      <w:r w:rsidRPr="00833D99">
        <w:rPr>
          <w:rFonts w:eastAsia="HGGothicM"/>
          <w:lang w:bidi="en-US"/>
        </w:rPr>
        <w:t>Advocacy Appointed under the Mental Capacity Act 2005</w:t>
      </w:r>
    </w:p>
    <w:bookmarkEnd w:id="3"/>
    <w:p w14:paraId="6CE0DEDF" w14:textId="3815664E" w:rsidR="00B7150E" w:rsidRPr="00B27265" w:rsidRDefault="00B7150E" w:rsidP="00B27265">
      <w:pPr>
        <w:pStyle w:val="List1"/>
        <w:rPr>
          <w:rFonts w:eastAsia="HGGothicM"/>
          <w:b/>
          <w:bCs/>
          <w:lang w:bidi="en-US"/>
        </w:rPr>
      </w:pPr>
      <w:r w:rsidRPr="00B27265">
        <w:rPr>
          <w:rFonts w:eastAsia="HGGothicM"/>
          <w:b/>
          <w:bCs/>
          <w:lang w:bidi="en-US"/>
        </w:rPr>
        <w:t>Related Policies</w:t>
      </w:r>
    </w:p>
    <w:p w14:paraId="4144DE55" w14:textId="780BAA6A" w:rsidR="00B7150E" w:rsidRPr="00B27265" w:rsidRDefault="00B7150E" w:rsidP="00B27265">
      <w:pPr>
        <w:pStyle w:val="List1"/>
        <w:rPr>
          <w:rFonts w:eastAsia="HGGothicM"/>
          <w:b/>
          <w:bCs/>
          <w:lang w:bidi="en-US"/>
        </w:rPr>
      </w:pPr>
      <w:r w:rsidRPr="00B27265">
        <w:rPr>
          <w:rFonts w:eastAsia="HGGothicM"/>
          <w:b/>
          <w:bCs/>
          <w:lang w:bidi="en-US"/>
        </w:rPr>
        <w:t>Related Guidance</w:t>
      </w:r>
    </w:p>
    <w:p w14:paraId="2D8DA629" w14:textId="619202B8" w:rsidR="00A61A71" w:rsidRPr="00B27265" w:rsidRDefault="00B7150E" w:rsidP="00B27265">
      <w:pPr>
        <w:pStyle w:val="List1"/>
        <w:rPr>
          <w:rFonts w:eastAsia="HGGothicM"/>
          <w:b/>
          <w:bCs/>
          <w:lang w:bidi="en-US"/>
        </w:rPr>
      </w:pPr>
      <w:r w:rsidRPr="00B27265">
        <w:rPr>
          <w:rFonts w:eastAsia="HGGothicM"/>
          <w:b/>
          <w:bCs/>
          <w:lang w:bidi="en-US"/>
        </w:rPr>
        <w:t>Training Statement</w:t>
      </w:r>
    </w:p>
    <w:p w14:paraId="40073288" w14:textId="6F197043" w:rsidR="00B7150E" w:rsidRDefault="00B7150E" w:rsidP="00836D51">
      <w:pPr>
        <w:pStyle w:val="Heading1"/>
        <w:rPr>
          <w:lang w:eastAsia="en-GB"/>
        </w:rPr>
      </w:pPr>
      <w:r>
        <w:rPr>
          <w:lang w:eastAsia="en-GB"/>
        </w:rPr>
        <w:t>Policy Statement</w:t>
      </w:r>
    </w:p>
    <w:p w14:paraId="53BFEB3C" w14:textId="7D4DE4F8" w:rsidR="00B179BE" w:rsidRPr="00B179BE" w:rsidRDefault="00B179BE" w:rsidP="00836D51">
      <w:pPr>
        <w:pStyle w:val="Paragraph"/>
        <w:jc w:val="left"/>
      </w:pPr>
      <w:r w:rsidRPr="00B179BE">
        <w:t xml:space="preserve">This organisation believes that </w:t>
      </w:r>
      <w:r w:rsidR="007F25D1">
        <w:t>Service Users</w:t>
      </w:r>
      <w:r w:rsidRPr="00B179BE">
        <w:t xml:space="preserve"> should be enabled to express their views as clearly and candidly as they wish. Recognising that some </w:t>
      </w:r>
      <w:r w:rsidR="007F25D1">
        <w:t>Service Users</w:t>
      </w:r>
      <w:r w:rsidRPr="00B179BE">
        <w:t xml:space="preserve"> may not be able to communicate easily, this organisation encourages representatives to speak on their behalf where this is appropriate.</w:t>
      </w:r>
    </w:p>
    <w:p w14:paraId="04B03045" w14:textId="77777777" w:rsidR="00B179BE" w:rsidRPr="00B179BE" w:rsidRDefault="00B179BE" w:rsidP="00836D51">
      <w:pPr>
        <w:pStyle w:val="Paragraph"/>
        <w:jc w:val="left"/>
      </w:pPr>
      <w:r w:rsidRPr="00B179BE">
        <w:t>This organisation believes that representation of this sort may be required:</w:t>
      </w:r>
    </w:p>
    <w:p w14:paraId="763887E0" w14:textId="2E4FB7DF" w:rsidR="00B179BE" w:rsidRPr="00B179BE" w:rsidRDefault="00B179BE" w:rsidP="00836D51">
      <w:pPr>
        <w:pStyle w:val="List1"/>
        <w:jc w:val="left"/>
      </w:pPr>
      <w:proofErr w:type="gramStart"/>
      <w:r w:rsidRPr="00B179BE">
        <w:t>In the course of</w:t>
      </w:r>
      <w:proofErr w:type="gramEnd"/>
      <w:r w:rsidRPr="00B179BE">
        <w:t xml:space="preserve"> the initial </w:t>
      </w:r>
      <w:r w:rsidR="00FE5DA4" w:rsidRPr="00B179BE">
        <w:t>need’s</w:t>
      </w:r>
      <w:r w:rsidRPr="00B179BE">
        <w:t xml:space="preserve"> assessment</w:t>
      </w:r>
      <w:r w:rsidR="001C3D52">
        <w:t>.</w:t>
      </w:r>
    </w:p>
    <w:p w14:paraId="71C1A125" w14:textId="434DB8A8" w:rsidR="00B179BE" w:rsidRPr="00B179BE" w:rsidRDefault="00B179BE" w:rsidP="00836D51">
      <w:pPr>
        <w:pStyle w:val="List1"/>
        <w:jc w:val="left"/>
      </w:pPr>
      <w:r w:rsidRPr="00B179BE">
        <w:t>During any subsequent assessment of needs</w:t>
      </w:r>
      <w:r w:rsidR="001C3D52">
        <w:t>.</w:t>
      </w:r>
    </w:p>
    <w:p w14:paraId="2C50038D" w14:textId="6DEF9C98" w:rsidR="00B179BE" w:rsidRPr="00B179BE" w:rsidRDefault="00B179BE" w:rsidP="00836D51">
      <w:pPr>
        <w:pStyle w:val="List1"/>
        <w:jc w:val="left"/>
      </w:pPr>
      <w:r w:rsidRPr="00B179BE">
        <w:t xml:space="preserve">In the drawing-up or review of the </w:t>
      </w:r>
      <w:r w:rsidR="007F25D1">
        <w:t>Service User</w:t>
      </w:r>
      <w:r w:rsidR="001C3D52">
        <w:t>’s</w:t>
      </w:r>
      <w:r w:rsidRPr="00B179BE">
        <w:t xml:space="preserve"> plan of care</w:t>
      </w:r>
      <w:r w:rsidR="001C3D52">
        <w:t>.</w:t>
      </w:r>
    </w:p>
    <w:p w14:paraId="14A4FC7C" w14:textId="5E089530" w:rsidR="00B179BE" w:rsidRPr="00B179BE" w:rsidRDefault="00B179BE" w:rsidP="00836D51">
      <w:pPr>
        <w:pStyle w:val="List1"/>
        <w:jc w:val="left"/>
      </w:pPr>
      <w:r w:rsidRPr="00B179BE">
        <w:t xml:space="preserve">In the process of assisting a </w:t>
      </w:r>
      <w:r w:rsidR="007F25D1">
        <w:t>Service User</w:t>
      </w:r>
      <w:r w:rsidRPr="00B179BE">
        <w:t xml:space="preserve"> to participate in the day-to-day delivery of their service</w:t>
      </w:r>
      <w:r w:rsidR="001C3D52">
        <w:t>.</w:t>
      </w:r>
    </w:p>
    <w:p w14:paraId="1876E6BC" w14:textId="459659BA" w:rsidR="00B179BE" w:rsidRPr="00B179BE" w:rsidRDefault="00B179BE" w:rsidP="00836D51">
      <w:pPr>
        <w:pStyle w:val="List1"/>
        <w:jc w:val="left"/>
      </w:pPr>
      <w:r w:rsidRPr="00B179BE">
        <w:t xml:space="preserve">In making risk assessments relating to a </w:t>
      </w:r>
      <w:r w:rsidR="007F25D1">
        <w:t>Service User</w:t>
      </w:r>
      <w:r w:rsidRPr="00B179BE">
        <w:t>’s activities</w:t>
      </w:r>
      <w:r w:rsidR="001C3D52">
        <w:t>.</w:t>
      </w:r>
    </w:p>
    <w:p w14:paraId="247E6AED" w14:textId="0C559862" w:rsidR="00B179BE" w:rsidRPr="00B179BE" w:rsidRDefault="00B179BE" w:rsidP="00836D51">
      <w:pPr>
        <w:pStyle w:val="List1"/>
        <w:jc w:val="left"/>
      </w:pPr>
      <w:r w:rsidRPr="00B179BE">
        <w:t xml:space="preserve">When helping a </w:t>
      </w:r>
      <w:r w:rsidR="007F25D1">
        <w:t>Service User</w:t>
      </w:r>
      <w:r w:rsidRPr="00B179BE">
        <w:t xml:space="preserve"> to represent their views to an outside organisation</w:t>
      </w:r>
      <w:r w:rsidR="001C3D52">
        <w:t>.</w:t>
      </w:r>
    </w:p>
    <w:p w14:paraId="20D8DB85" w14:textId="4D85BB69" w:rsidR="00B179BE" w:rsidRPr="00B179BE" w:rsidRDefault="00B179BE" w:rsidP="00836D51">
      <w:pPr>
        <w:pStyle w:val="List1"/>
        <w:jc w:val="left"/>
      </w:pPr>
      <w:r w:rsidRPr="00B179BE">
        <w:t xml:space="preserve">When a </w:t>
      </w:r>
      <w:r w:rsidR="007F25D1">
        <w:t>Service User</w:t>
      </w:r>
      <w:r w:rsidRPr="00B179BE">
        <w:t xml:space="preserve"> wishes to express a concern or complaint</w:t>
      </w:r>
      <w:r w:rsidR="00836D51">
        <w:t>.</w:t>
      </w:r>
    </w:p>
    <w:p w14:paraId="3A6A337D" w14:textId="5211DA16" w:rsidR="00B179BE" w:rsidRPr="00B179BE" w:rsidRDefault="00B179BE" w:rsidP="00836D51">
      <w:pPr>
        <w:pStyle w:val="List1"/>
        <w:jc w:val="left"/>
      </w:pPr>
      <w:r w:rsidRPr="00B179BE">
        <w:t xml:space="preserve">In instances where a </w:t>
      </w:r>
      <w:r w:rsidR="007F25D1">
        <w:t>Service User</w:t>
      </w:r>
      <w:r w:rsidRPr="00B179BE">
        <w:t xml:space="preserve"> may have been subject to abuse</w:t>
      </w:r>
      <w:r w:rsidR="00836D51">
        <w:t>.</w:t>
      </w:r>
    </w:p>
    <w:p w14:paraId="174628C4" w14:textId="1BE85C40" w:rsidR="00B179BE" w:rsidRPr="00B179BE" w:rsidRDefault="00B179BE" w:rsidP="00836D51">
      <w:pPr>
        <w:pStyle w:val="List1"/>
        <w:jc w:val="left"/>
      </w:pPr>
      <w:r w:rsidRPr="00B179BE">
        <w:t xml:space="preserve">When a </w:t>
      </w:r>
      <w:r w:rsidR="007F25D1">
        <w:t>Service User</w:t>
      </w:r>
      <w:r w:rsidRPr="00B179BE">
        <w:t xml:space="preserve"> wishes to submit their views on the organisation as part of our quality assurance programme</w:t>
      </w:r>
      <w:r w:rsidR="00836D51">
        <w:t>.</w:t>
      </w:r>
    </w:p>
    <w:p w14:paraId="79969F52" w14:textId="59FBB65B" w:rsidR="00B179BE" w:rsidRPr="00B179BE" w:rsidRDefault="00B179BE" w:rsidP="00836D51">
      <w:pPr>
        <w:pStyle w:val="List1"/>
        <w:jc w:val="left"/>
      </w:pPr>
      <w:r w:rsidRPr="00B179BE">
        <w:t xml:space="preserve">In helping a </w:t>
      </w:r>
      <w:r w:rsidR="007F25D1">
        <w:t>Service User</w:t>
      </w:r>
      <w:r w:rsidRPr="00B179BE">
        <w:t xml:space="preserve"> to have an input to the drawing up or review of our policies and procedures</w:t>
      </w:r>
      <w:r w:rsidR="00836D51">
        <w:t>.</w:t>
      </w:r>
    </w:p>
    <w:p w14:paraId="226B0EDE" w14:textId="279DE215" w:rsidR="00B179BE" w:rsidRPr="00B179BE" w:rsidRDefault="00B179BE" w:rsidP="00836D51">
      <w:pPr>
        <w:pStyle w:val="List1"/>
        <w:jc w:val="left"/>
      </w:pPr>
      <w:r w:rsidRPr="00B179BE">
        <w:t xml:space="preserve">In situations where the </w:t>
      </w:r>
      <w:r w:rsidR="007F25D1">
        <w:t>Service User</w:t>
      </w:r>
      <w:r w:rsidRPr="00B179BE">
        <w:t xml:space="preserve"> must take important decisions, </w:t>
      </w:r>
      <w:proofErr w:type="gramStart"/>
      <w:r w:rsidRPr="00B179BE">
        <w:t>e.g.</w:t>
      </w:r>
      <w:proofErr w:type="gramEnd"/>
      <w:r w:rsidRPr="00B179BE">
        <w:t xml:space="preserve"> about having surgery, but might lack the mental capacity to take the necessary decision on their own.</w:t>
      </w:r>
    </w:p>
    <w:p w14:paraId="00261AB7" w14:textId="77777777" w:rsidR="00B179BE" w:rsidRPr="00836D51" w:rsidRDefault="00B179BE" w:rsidP="00836D51">
      <w:pPr>
        <w:pStyle w:val="Heading1"/>
        <w:rPr>
          <w:color w:val="auto"/>
        </w:rPr>
      </w:pPr>
      <w:bookmarkStart w:id="4" w:name="_Toc408410310"/>
      <w:bookmarkStart w:id="5" w:name="_Toc408495416"/>
      <w:bookmarkStart w:id="6" w:name="_Toc409430931"/>
      <w:r w:rsidRPr="00836D51">
        <w:rPr>
          <w:color w:val="auto"/>
        </w:rPr>
        <w:t>The Care Act 2014</w:t>
      </w:r>
      <w:bookmarkEnd w:id="4"/>
      <w:bookmarkEnd w:id="5"/>
      <w:bookmarkEnd w:id="6"/>
    </w:p>
    <w:p w14:paraId="50DB9D92" w14:textId="16C45759" w:rsidR="00B179BE" w:rsidRPr="00287124" w:rsidRDefault="00B179BE" w:rsidP="00836D51">
      <w:pPr>
        <w:pStyle w:val="Paragraph"/>
        <w:jc w:val="left"/>
        <w:rPr>
          <w:rFonts w:eastAsia="Calibri"/>
        </w:rPr>
      </w:pPr>
      <w:r w:rsidRPr="00B179BE">
        <w:rPr>
          <w:rFonts w:eastAsia="Calibri"/>
        </w:rPr>
        <w:t>From 1</w:t>
      </w:r>
      <w:r w:rsidR="00836D51">
        <w:rPr>
          <w:rFonts w:eastAsia="Calibri"/>
        </w:rPr>
        <w:t xml:space="preserve"> </w:t>
      </w:r>
      <w:r w:rsidRPr="00B179BE">
        <w:rPr>
          <w:rFonts w:eastAsia="Calibri"/>
        </w:rPr>
        <w:t>April 2015</w:t>
      </w:r>
      <w:r w:rsidR="00836D51">
        <w:rPr>
          <w:rFonts w:eastAsia="Calibri"/>
        </w:rPr>
        <w:t>,</w:t>
      </w:r>
      <w:r w:rsidRPr="00B179BE">
        <w:rPr>
          <w:rFonts w:eastAsia="Calibri"/>
        </w:rPr>
        <w:t xml:space="preserve"> independent advocacy became part of the </w:t>
      </w:r>
      <w:r w:rsidR="00836D51">
        <w:rPr>
          <w:rFonts w:eastAsia="Calibri"/>
        </w:rPr>
        <w:t>Care</w:t>
      </w:r>
      <w:r w:rsidRPr="00B179BE">
        <w:rPr>
          <w:rFonts w:eastAsia="Calibri"/>
        </w:rPr>
        <w:t xml:space="preserve"> Act</w:t>
      </w:r>
      <w:r w:rsidR="00836D51">
        <w:rPr>
          <w:rFonts w:eastAsia="Calibri"/>
        </w:rPr>
        <w:t xml:space="preserve"> 2014</w:t>
      </w:r>
      <w:r w:rsidRPr="00B179BE">
        <w:rPr>
          <w:rFonts w:eastAsia="Calibri"/>
        </w:rPr>
        <w:t xml:space="preserve">. This places a duty on local authorities to arrange an independent advocate for all adults as part of their assessment and care planning process. This applies to both </w:t>
      </w:r>
      <w:r w:rsidR="007F25D1">
        <w:t xml:space="preserve">Service </w:t>
      </w:r>
      <w:r w:rsidR="007F25D1">
        <w:lastRenderedPageBreak/>
        <w:t>Users</w:t>
      </w:r>
      <w:r w:rsidRPr="00B179BE">
        <w:rPr>
          <w:rFonts w:eastAsia="Calibri"/>
        </w:rPr>
        <w:t xml:space="preserve"> and their carers. There is also a separate duty to arrange an independent advocate for adults who are subject to a safeguarding enquiry or </w:t>
      </w:r>
      <w:r w:rsidR="00836D51">
        <w:rPr>
          <w:rFonts w:eastAsia="Calibri"/>
        </w:rPr>
        <w:t xml:space="preserve">a </w:t>
      </w:r>
      <w:r w:rsidR="00836D51" w:rsidRPr="00B179BE">
        <w:rPr>
          <w:rFonts w:eastAsia="Calibri"/>
        </w:rPr>
        <w:t xml:space="preserve">safeguarding </w:t>
      </w:r>
      <w:r w:rsidR="00836D51" w:rsidRPr="00287124">
        <w:rPr>
          <w:rFonts w:eastAsia="Calibri"/>
        </w:rPr>
        <w:t>adults review</w:t>
      </w:r>
      <w:r w:rsidRPr="00287124">
        <w:rPr>
          <w:rFonts w:eastAsia="Calibri"/>
        </w:rPr>
        <w:t xml:space="preserve"> (SAR). </w:t>
      </w:r>
    </w:p>
    <w:p w14:paraId="6C679E97" w14:textId="73A715F7" w:rsidR="001B6FD5" w:rsidRPr="00287124" w:rsidRDefault="00203C18" w:rsidP="001B6FD5">
      <w:pPr>
        <w:pStyle w:val="WPParagraph"/>
        <w:rPr>
          <w:lang w:eastAsia="en-GB"/>
        </w:rPr>
      </w:pPr>
      <w:r w:rsidRPr="00287124">
        <w:t>Care and Support Statutory Guidance updated on 2nd November 2022 under the Care Act 2014 is available from the Department of Health and Social Care. Advocacy is Chapter 7.</w:t>
      </w:r>
    </w:p>
    <w:p w14:paraId="2605CD7D" w14:textId="5E5134E8" w:rsidR="00B14A79" w:rsidRDefault="00B14A79" w:rsidP="00836D51">
      <w:pPr>
        <w:pStyle w:val="Heading1"/>
        <w:rPr>
          <w:lang w:eastAsia="en-GB"/>
        </w:rPr>
      </w:pPr>
      <w:r w:rsidRPr="002E7BED">
        <w:rPr>
          <w:lang w:eastAsia="en-GB"/>
        </w:rPr>
        <w:t>The Policy</w:t>
      </w:r>
    </w:p>
    <w:p w14:paraId="65D1550D" w14:textId="113A49C4" w:rsidR="00B179BE" w:rsidRPr="00B179BE" w:rsidRDefault="00B179BE" w:rsidP="00836D51">
      <w:pPr>
        <w:pStyle w:val="Paragraph"/>
        <w:jc w:val="left"/>
      </w:pPr>
      <w:r w:rsidRPr="00B179BE">
        <w:t>Th</w:t>
      </w:r>
      <w:r w:rsidR="00C40BE1">
        <w:t>is policy aim</w:t>
      </w:r>
      <w:r w:rsidRPr="00B179BE">
        <w:t xml:space="preserve">s to help the </w:t>
      </w:r>
      <w:r w:rsidR="007F25D1">
        <w:t>Service User</w:t>
      </w:r>
      <w:r w:rsidR="00836D51">
        <w:t>,</w:t>
      </w:r>
      <w:r w:rsidRPr="00B179BE">
        <w:t xml:space="preserve"> through the use of advocacy</w:t>
      </w:r>
      <w:r w:rsidR="00836D51">
        <w:t>,</w:t>
      </w:r>
      <w:r w:rsidRPr="00B179BE">
        <w:t xml:space="preserve"> to express their views</w:t>
      </w:r>
      <w:r w:rsidR="00836D51">
        <w:t>,</w:t>
      </w:r>
      <w:r w:rsidRPr="00B179BE">
        <w:t xml:space="preserve"> both to the organisation and other bodies</w:t>
      </w:r>
      <w:r w:rsidR="00836D51">
        <w:t>,</w:t>
      </w:r>
      <w:r w:rsidRPr="00B179BE">
        <w:t xml:space="preserve"> and to feel that their views are understood and respected.</w:t>
      </w:r>
    </w:p>
    <w:p w14:paraId="59A3230F" w14:textId="5D04D52F" w:rsidR="00B179BE" w:rsidRPr="001C3D52" w:rsidRDefault="00B179BE" w:rsidP="00836D51">
      <w:pPr>
        <w:pStyle w:val="Heading1"/>
        <w:rPr>
          <w:color w:val="auto"/>
          <w:lang w:eastAsia="en-GB"/>
        </w:rPr>
      </w:pPr>
      <w:r w:rsidRPr="001C3D52">
        <w:rPr>
          <w:color w:val="auto"/>
          <w:lang w:eastAsia="en-GB"/>
        </w:rPr>
        <w:t>Defining Advocacy</w:t>
      </w:r>
    </w:p>
    <w:p w14:paraId="0BD5A8BE" w14:textId="77777777" w:rsidR="00B179BE" w:rsidRPr="001C3D52" w:rsidRDefault="00B179BE" w:rsidP="00836D51">
      <w:pPr>
        <w:pStyle w:val="Heading1"/>
        <w:rPr>
          <w:i/>
          <w:iCs/>
          <w:color w:val="auto"/>
          <w:lang w:val="en-GB" w:eastAsia="sk-SK"/>
        </w:rPr>
      </w:pPr>
      <w:bookmarkStart w:id="7" w:name="_Toc408410312"/>
      <w:bookmarkStart w:id="8" w:name="_Toc408495418"/>
      <w:bookmarkStart w:id="9" w:name="_Toc409430933"/>
      <w:r w:rsidRPr="001C3D52">
        <w:rPr>
          <w:i/>
          <w:iCs/>
          <w:color w:val="auto"/>
          <w:lang w:val="en-GB" w:eastAsia="sk-SK"/>
        </w:rPr>
        <w:t>The Advocacy Charter</w:t>
      </w:r>
    </w:p>
    <w:p w14:paraId="4D446D45" w14:textId="2BA0738E" w:rsidR="00836D51" w:rsidRPr="005D72C8" w:rsidRDefault="00836D51" w:rsidP="00836D51">
      <w:pPr>
        <w:pStyle w:val="Paragraph"/>
        <w:jc w:val="left"/>
      </w:pPr>
      <w:bookmarkStart w:id="10" w:name="_Toc408410313"/>
      <w:bookmarkStart w:id="11" w:name="_Toc408495419"/>
      <w:bookmarkStart w:id="12" w:name="_Toc409430934"/>
      <w:bookmarkEnd w:id="7"/>
      <w:bookmarkEnd w:id="8"/>
      <w:bookmarkEnd w:id="9"/>
      <w:r w:rsidRPr="005D72C8">
        <w:t>Action for Advocacy</w:t>
      </w:r>
      <w:r>
        <w:t>,</w:t>
      </w:r>
      <w:r w:rsidRPr="005D72C8">
        <w:t xml:space="preserve"> following consultation with a wide range of advocacy bodies in the social care field in 2002. Further work in updating the principles and the code of practice were revised in 2014 by Empowerment Matters CIC and the National Development Team for Inclusion (NDTi)</w:t>
      </w:r>
      <w:r>
        <w:t>,</w:t>
      </w:r>
      <w:r w:rsidRPr="005D72C8">
        <w:t xml:space="preserve"> reflect</w:t>
      </w:r>
      <w:r>
        <w:t>ing</w:t>
      </w:r>
      <w:r w:rsidRPr="005D72C8">
        <w:t xml:space="preserve"> changes in legislation and developments in </w:t>
      </w:r>
      <w:r>
        <w:t>a</w:t>
      </w:r>
      <w:r w:rsidRPr="005D72C8">
        <w:t>dvocacy practice</w:t>
      </w:r>
      <w:r>
        <w:t>:</w:t>
      </w:r>
    </w:p>
    <w:p w14:paraId="5520C51C" w14:textId="1C50C055" w:rsidR="00836D51" w:rsidRDefault="00836D51" w:rsidP="00836D51">
      <w:pPr>
        <w:pStyle w:val="Paragraph"/>
        <w:ind w:left="720"/>
        <w:jc w:val="left"/>
      </w:pPr>
      <w:r w:rsidRPr="005D72C8">
        <w:t>“Advocacy is taking action to help people say what they want, secure their rights, represent their interests</w:t>
      </w:r>
      <w:r>
        <w:t>,</w:t>
      </w:r>
      <w:r w:rsidRPr="005D72C8">
        <w:t xml:space="preserve"> and obtain the service they need. Advocates and advocacy schemes work in partnership with the people they support and take their side. Advocacy promotes social inclusion, equality</w:t>
      </w:r>
      <w:r>
        <w:t>,</w:t>
      </w:r>
      <w:r w:rsidRPr="005D72C8">
        <w:t xml:space="preserve"> and social justice.”</w:t>
      </w:r>
    </w:p>
    <w:p w14:paraId="60EF2F14" w14:textId="7F8FF1ED" w:rsidR="00D06E9E" w:rsidRDefault="00D06E9E" w:rsidP="00836D51">
      <w:pPr>
        <w:pStyle w:val="Paragraph"/>
        <w:ind w:left="720"/>
        <w:jc w:val="left"/>
      </w:pPr>
    </w:p>
    <w:p w14:paraId="504118B8" w14:textId="3F15794E" w:rsidR="00D06E9E" w:rsidRPr="00D06E9E" w:rsidRDefault="00D06E9E" w:rsidP="00D06E9E">
      <w:pPr>
        <w:pStyle w:val="Paragraph"/>
        <w:jc w:val="left"/>
        <w:rPr>
          <w:strike/>
          <w:color w:val="FF0000"/>
        </w:rPr>
      </w:pPr>
      <w:r w:rsidRPr="00B179BE">
        <w:t xml:space="preserve">This organisation accepts the </w:t>
      </w:r>
      <w:r>
        <w:t xml:space="preserve">above </w:t>
      </w:r>
      <w:r w:rsidRPr="00B179BE">
        <w:t xml:space="preserve">definition of advocacy </w:t>
      </w:r>
    </w:p>
    <w:p w14:paraId="3CFFA4BA" w14:textId="6536A33A" w:rsidR="00B179BE" w:rsidRPr="00836D51" w:rsidRDefault="00B179BE" w:rsidP="00836D51">
      <w:pPr>
        <w:pStyle w:val="Heading1"/>
        <w:rPr>
          <w:i/>
          <w:iCs/>
          <w:color w:val="auto"/>
        </w:rPr>
      </w:pPr>
      <w:r w:rsidRPr="00836D51">
        <w:rPr>
          <w:i/>
          <w:iCs/>
          <w:color w:val="auto"/>
        </w:rPr>
        <w:t>The Qualities of Advocacy</w:t>
      </w:r>
      <w:bookmarkEnd w:id="10"/>
      <w:bookmarkEnd w:id="11"/>
      <w:bookmarkEnd w:id="12"/>
    </w:p>
    <w:p w14:paraId="365F574D" w14:textId="77777777" w:rsidR="00B179BE" w:rsidRPr="00B179BE" w:rsidRDefault="00B179BE" w:rsidP="00836D51">
      <w:pPr>
        <w:pStyle w:val="Paragraph"/>
        <w:jc w:val="left"/>
      </w:pPr>
      <w:r w:rsidRPr="00B179BE">
        <w:t>This organisation subscribes to the Advocacy Charter promoted by Action for Advocacy, which lists ten essential qualities:</w:t>
      </w:r>
    </w:p>
    <w:p w14:paraId="43379B28" w14:textId="225B479E" w:rsidR="00836D51" w:rsidRPr="005D72C8" w:rsidRDefault="00836D51" w:rsidP="00836D51">
      <w:pPr>
        <w:pStyle w:val="List1"/>
        <w:jc w:val="left"/>
      </w:pPr>
      <w:r w:rsidRPr="005D72C8">
        <w:rPr>
          <w:b/>
        </w:rPr>
        <w:t>Independence</w:t>
      </w:r>
      <w:r w:rsidRPr="005D72C8">
        <w:t xml:space="preserve">: </w:t>
      </w:r>
      <w:r>
        <w:t>a</w:t>
      </w:r>
      <w:r w:rsidRPr="005D72C8">
        <w:t xml:space="preserve">dvocates should be independent </w:t>
      </w:r>
      <w:r w:rsidR="00C40BE1">
        <w:t>of</w:t>
      </w:r>
      <w:r w:rsidRPr="005D72C8">
        <w:t xml:space="preserve"> statutory and other service-providing agencies.</w:t>
      </w:r>
    </w:p>
    <w:p w14:paraId="474834DB" w14:textId="77777777" w:rsidR="00836D51" w:rsidRPr="005D72C8" w:rsidRDefault="00836D51" w:rsidP="00836D51">
      <w:pPr>
        <w:pStyle w:val="List1"/>
        <w:jc w:val="left"/>
      </w:pPr>
      <w:r w:rsidRPr="005D72C8">
        <w:rPr>
          <w:b/>
        </w:rPr>
        <w:t>Empowerment</w:t>
      </w:r>
      <w:r w:rsidRPr="005D72C8">
        <w:t xml:space="preserve">: </w:t>
      </w:r>
      <w:r>
        <w:t>p</w:t>
      </w:r>
      <w:r w:rsidRPr="005D72C8">
        <w:t>eople using advocacy should be able to participate in the running of the scheme.</w:t>
      </w:r>
    </w:p>
    <w:p w14:paraId="3820A1E8" w14:textId="77777777" w:rsidR="00836D51" w:rsidRPr="005D72C8" w:rsidRDefault="00836D51" w:rsidP="00836D51">
      <w:pPr>
        <w:pStyle w:val="List1"/>
        <w:jc w:val="left"/>
      </w:pPr>
      <w:r w:rsidRPr="005D72C8">
        <w:rPr>
          <w:b/>
        </w:rPr>
        <w:t>Accountability</w:t>
      </w:r>
      <w:r w:rsidRPr="005D72C8">
        <w:t xml:space="preserve">: </w:t>
      </w:r>
      <w:r>
        <w:t>e</w:t>
      </w:r>
      <w:r w:rsidRPr="005D72C8">
        <w:t>very advocacy scheme should monitor and evaluate its work effectively.</w:t>
      </w:r>
    </w:p>
    <w:p w14:paraId="56F00DC8" w14:textId="77777777" w:rsidR="00836D51" w:rsidRPr="005D72C8" w:rsidRDefault="00836D51" w:rsidP="00836D51">
      <w:pPr>
        <w:pStyle w:val="List1"/>
        <w:jc w:val="left"/>
      </w:pPr>
      <w:r w:rsidRPr="005D72C8">
        <w:rPr>
          <w:b/>
        </w:rPr>
        <w:t>Support for advocates</w:t>
      </w:r>
      <w:r w:rsidRPr="005D72C8">
        <w:t xml:space="preserve">: </w:t>
      </w:r>
      <w:r>
        <w:t>a</w:t>
      </w:r>
      <w:r w:rsidRPr="005D72C8">
        <w:t>dvocates must be appropriately prepared, trained</w:t>
      </w:r>
      <w:r>
        <w:t>,</w:t>
      </w:r>
      <w:r w:rsidRPr="005D72C8">
        <w:t xml:space="preserve"> and supported.</w:t>
      </w:r>
    </w:p>
    <w:p w14:paraId="524D9CF4" w14:textId="77777777" w:rsidR="00836D51" w:rsidRPr="005D72C8" w:rsidRDefault="00836D51" w:rsidP="00836D51">
      <w:pPr>
        <w:pStyle w:val="List1"/>
        <w:jc w:val="left"/>
      </w:pPr>
      <w:r w:rsidRPr="005D72C8">
        <w:rPr>
          <w:b/>
        </w:rPr>
        <w:t>Complaints</w:t>
      </w:r>
      <w:r w:rsidRPr="005D72C8">
        <w:t xml:space="preserve">: </w:t>
      </w:r>
      <w:r>
        <w:t>a</w:t>
      </w:r>
      <w:r w:rsidRPr="005D72C8">
        <w:t>dvocacy schemes must have policies for dealing with complaints.</w:t>
      </w:r>
    </w:p>
    <w:p w14:paraId="068B1AAE" w14:textId="77777777" w:rsidR="00836D51" w:rsidRPr="005D72C8" w:rsidRDefault="00836D51" w:rsidP="00836D51">
      <w:pPr>
        <w:pStyle w:val="List1"/>
        <w:jc w:val="left"/>
      </w:pPr>
      <w:r w:rsidRPr="005D72C8">
        <w:rPr>
          <w:b/>
        </w:rPr>
        <w:t>Clarity of purpose</w:t>
      </w:r>
      <w:r w:rsidRPr="005D72C8">
        <w:t xml:space="preserve">: </w:t>
      </w:r>
      <w:r>
        <w:t>a</w:t>
      </w:r>
      <w:r w:rsidRPr="005D72C8">
        <w:t>dvocacy schemes must have clear objectives and must make these known.</w:t>
      </w:r>
    </w:p>
    <w:p w14:paraId="218B371E" w14:textId="40925F8D" w:rsidR="00836D51" w:rsidRPr="005D72C8" w:rsidRDefault="00836D51" w:rsidP="00836D51">
      <w:pPr>
        <w:pStyle w:val="List1"/>
        <w:jc w:val="left"/>
      </w:pPr>
      <w:r w:rsidRPr="005D72C8">
        <w:rPr>
          <w:b/>
        </w:rPr>
        <w:t>Person</w:t>
      </w:r>
      <w:r>
        <w:rPr>
          <w:b/>
        </w:rPr>
        <w:t>-</w:t>
      </w:r>
      <w:r w:rsidRPr="005D72C8">
        <w:rPr>
          <w:b/>
        </w:rPr>
        <w:t>centred approach</w:t>
      </w:r>
      <w:r w:rsidRPr="005D72C8">
        <w:t xml:space="preserve">: </w:t>
      </w:r>
      <w:r>
        <w:t>a</w:t>
      </w:r>
      <w:r w:rsidRPr="005D72C8">
        <w:t xml:space="preserve">dvocates must be non-judgmental and respectful of </w:t>
      </w:r>
      <w:r w:rsidR="007F25D1">
        <w:t>Service Users</w:t>
      </w:r>
      <w:r w:rsidRPr="005D72C8">
        <w:t>’ needs, views</w:t>
      </w:r>
      <w:r>
        <w:t>,</w:t>
      </w:r>
      <w:r w:rsidRPr="005D72C8">
        <w:t xml:space="preserve"> and experiences.</w:t>
      </w:r>
    </w:p>
    <w:p w14:paraId="74CE2C53" w14:textId="77777777" w:rsidR="00836D51" w:rsidRPr="005D72C8" w:rsidRDefault="00836D51" w:rsidP="00836D51">
      <w:pPr>
        <w:pStyle w:val="List1"/>
        <w:jc w:val="left"/>
      </w:pPr>
      <w:r w:rsidRPr="005D72C8">
        <w:rPr>
          <w:b/>
        </w:rPr>
        <w:lastRenderedPageBreak/>
        <w:t>Equal opportunities</w:t>
      </w:r>
      <w:r w:rsidRPr="005D72C8">
        <w:t xml:space="preserve">: </w:t>
      </w:r>
      <w:r>
        <w:t>a</w:t>
      </w:r>
      <w:r w:rsidRPr="005D72C8">
        <w:t>dvocacy schemes must have and observe a written equal opportunities policy.</w:t>
      </w:r>
    </w:p>
    <w:p w14:paraId="24874F5C" w14:textId="77777777" w:rsidR="00836D51" w:rsidRPr="005D72C8" w:rsidRDefault="00836D51" w:rsidP="00836D51">
      <w:pPr>
        <w:pStyle w:val="List1"/>
        <w:jc w:val="left"/>
      </w:pPr>
      <w:r w:rsidRPr="005D72C8">
        <w:rPr>
          <w:b/>
        </w:rPr>
        <w:t>Accessibility</w:t>
      </w:r>
      <w:r w:rsidRPr="005D72C8">
        <w:t xml:space="preserve">: </w:t>
      </w:r>
      <w:r>
        <w:t>a</w:t>
      </w:r>
      <w:r w:rsidRPr="005D72C8">
        <w:t>dvocacy must be provided free of charge and in ways that make it widely accessible.</w:t>
      </w:r>
    </w:p>
    <w:p w14:paraId="75FC42C7" w14:textId="77777777" w:rsidR="00836D51" w:rsidRPr="005D72C8" w:rsidRDefault="00836D51" w:rsidP="00836D51">
      <w:pPr>
        <w:pStyle w:val="List1"/>
        <w:jc w:val="left"/>
      </w:pPr>
      <w:r w:rsidRPr="005D72C8">
        <w:rPr>
          <w:b/>
        </w:rPr>
        <w:t>Confidentiality</w:t>
      </w:r>
      <w:r w:rsidRPr="005D72C8">
        <w:t xml:space="preserve">: </w:t>
      </w:r>
      <w:r>
        <w:t>a</w:t>
      </w:r>
      <w:r w:rsidRPr="005D72C8">
        <w:t>dvocacy schemes must have a policy on confidentiality, which includes the circumstances under which confidentiality might be breached.</w:t>
      </w:r>
    </w:p>
    <w:p w14:paraId="3CC83FB0" w14:textId="267C74B1" w:rsidR="00B179BE" w:rsidRDefault="00836D51" w:rsidP="00836D51">
      <w:pPr>
        <w:pStyle w:val="List1"/>
        <w:jc w:val="left"/>
      </w:pPr>
      <w:r w:rsidRPr="005D72C8">
        <w:rPr>
          <w:b/>
        </w:rPr>
        <w:t>Safeguarding</w:t>
      </w:r>
      <w:r>
        <w:rPr>
          <w:b/>
        </w:rPr>
        <w:t>:</w:t>
      </w:r>
      <w:r w:rsidRPr="005D72C8">
        <w:rPr>
          <w:b/>
        </w:rPr>
        <w:t xml:space="preserve"> </w:t>
      </w:r>
      <w:r>
        <w:t>c</w:t>
      </w:r>
      <w:r w:rsidRPr="005D72C8">
        <w:t xml:space="preserve">lear policies and procedures will be in place to ensure safeguarding issues are identified and acted upon. Advocates will be supported to understand the different forms of abuse and neglect, issues relating to confidentiality and what to do if they </w:t>
      </w:r>
      <w:r w:rsidR="00B179BE" w:rsidRPr="00B179BE">
        <w:t xml:space="preserve">suspect a </w:t>
      </w:r>
      <w:r w:rsidR="007F25D1">
        <w:t>Service User</w:t>
      </w:r>
      <w:r w:rsidR="00B179BE" w:rsidRPr="00B179BE">
        <w:t xml:space="preserve"> is at </w:t>
      </w:r>
      <w:proofErr w:type="gramStart"/>
      <w:r w:rsidR="00B179BE" w:rsidRPr="00B179BE">
        <w:t>risk</w:t>
      </w:r>
      <w:proofErr w:type="gramEnd"/>
    </w:p>
    <w:p w14:paraId="3DEC277F" w14:textId="77777777" w:rsidR="007F25D1" w:rsidRPr="00287124" w:rsidRDefault="007F25D1" w:rsidP="009F2DD5">
      <w:pPr>
        <w:pStyle w:val="WPHeading2"/>
      </w:pPr>
      <w:r w:rsidRPr="00287124">
        <w:t>Improving Access to Advocacy</w:t>
      </w:r>
    </w:p>
    <w:p w14:paraId="27B40230" w14:textId="76B62F87" w:rsidR="007F25D1" w:rsidRPr="00287124" w:rsidRDefault="007F25D1" w:rsidP="009F2DD5">
      <w:pPr>
        <w:pStyle w:val="WPParagraph"/>
      </w:pPr>
      <w:r w:rsidRPr="00287124">
        <w:t>This organisation should ensure that advocates can meet Service Users in person to support them to make initial contact with advocacy services. We will ensure that policies and procedures do not act as an obstacle to our Service Users accessing advocacy. This includes finding alternative methods to mitigate any risks, for example from infection.</w:t>
      </w:r>
    </w:p>
    <w:p w14:paraId="78B1BEE7" w14:textId="74F8EF6D" w:rsidR="007F25D1" w:rsidRPr="00287124" w:rsidRDefault="007F25D1" w:rsidP="009F2DD5">
      <w:pPr>
        <w:pStyle w:val="WPParagraph"/>
      </w:pPr>
      <w:r w:rsidRPr="00287124">
        <w:t>Commissioners and advocacy providers should make it easy for our Service Users to access advocacy by having:</w:t>
      </w:r>
    </w:p>
    <w:p w14:paraId="4D5257AA" w14:textId="0A58C5F6" w:rsidR="007F25D1" w:rsidRPr="00287124" w:rsidRDefault="007F25D1" w:rsidP="009F2DD5">
      <w:pPr>
        <w:pStyle w:val="WPBullet"/>
      </w:pPr>
      <w:r w:rsidRPr="00287124">
        <w:t>flexible ways to make contact, including by self-referral</w:t>
      </w:r>
    </w:p>
    <w:p w14:paraId="1129566C" w14:textId="56DBCEA1" w:rsidR="007F25D1" w:rsidRPr="00287124" w:rsidRDefault="007F25D1" w:rsidP="00612293">
      <w:pPr>
        <w:pStyle w:val="WPBullet"/>
      </w:pPr>
      <w:r w:rsidRPr="00287124">
        <w:t>a simple process that directs people to the right advocacy support without them needing to know what type of advocacy they need (for example, a universal point of access).</w:t>
      </w:r>
    </w:p>
    <w:p w14:paraId="79E51F0F" w14:textId="3D5ADEF4" w:rsidR="007F25D1" w:rsidRPr="00287124" w:rsidRDefault="007F25D1" w:rsidP="00612293">
      <w:pPr>
        <w:pStyle w:val="WPParagraph"/>
      </w:pPr>
      <w:r w:rsidRPr="00287124">
        <w:t>Advocacy providers should aim to support continuity by offering our Service Users the same advocate for different types of advocacy (for example, statutory advocacy in line with the </w:t>
      </w:r>
      <w:hyperlink r:id="rId13" w:tgtFrame="_top" w:history="1">
        <w:r w:rsidRPr="00287124">
          <w:rPr>
            <w:rStyle w:val="Hyperlink"/>
            <w:color w:val="auto"/>
            <w:lang w:val="en-US"/>
          </w:rPr>
          <w:t>Care Act 2014</w:t>
        </w:r>
      </w:hyperlink>
      <w:r w:rsidRPr="00287124">
        <w:t>, IMHA, independent mental capacity advocate [IMCA] and non-statutory advocacy). If this is not possible, they should ensure that systems for handover are in place that is not reliant on a new referral. Advocacy organisations should ensure that IMHA is offered at the earliest opportunity and then regularly afterwards to our Service Users who are eligible. This includes Service Users who have initially declined support. For these Service Users, advocacy organisations should explore, where appropriate, the reasons why the support was declined and what could be done to help them access advocacy.</w:t>
      </w:r>
    </w:p>
    <w:p w14:paraId="17AD8E41" w14:textId="1915691A" w:rsidR="009F2DD5" w:rsidRPr="00287124" w:rsidRDefault="007F25D1" w:rsidP="00612293">
      <w:pPr>
        <w:pStyle w:val="WPParagraph"/>
        <w:rPr>
          <w:b/>
          <w:bCs/>
        </w:rPr>
      </w:pPr>
      <w:r w:rsidRPr="00287124">
        <w:t>As an organisation, we ensure that Service Users who are unable to ask for an advocate get advocacy when they are entitled to it.</w:t>
      </w:r>
      <w:r w:rsidR="009F2DD5" w:rsidRPr="00287124">
        <w:rPr>
          <w:b/>
          <w:bCs/>
        </w:rPr>
        <w:t xml:space="preserve"> </w:t>
      </w:r>
    </w:p>
    <w:p w14:paraId="694026F7" w14:textId="1D56FCD3" w:rsidR="00B179BE" w:rsidRPr="00B27265" w:rsidRDefault="00B179BE" w:rsidP="00836D51">
      <w:pPr>
        <w:pStyle w:val="Heading1"/>
        <w:rPr>
          <w:color w:val="auto"/>
          <w:lang w:eastAsia="sk-SK"/>
        </w:rPr>
      </w:pPr>
      <w:bookmarkStart w:id="13" w:name="_Toc408410314"/>
      <w:bookmarkStart w:id="14" w:name="_Toc408495420"/>
      <w:bookmarkStart w:id="15" w:name="_Toc409430935"/>
      <w:r w:rsidRPr="00B27265">
        <w:rPr>
          <w:color w:val="auto"/>
          <w:lang w:eastAsia="sk-SK"/>
        </w:rPr>
        <w:t xml:space="preserve">Our </w:t>
      </w:r>
      <w:r w:rsidR="007F25D1">
        <w:rPr>
          <w:color w:val="auto"/>
          <w:lang w:eastAsia="sk-SK"/>
        </w:rPr>
        <w:t>Service Users</w:t>
      </w:r>
      <w:r w:rsidRPr="00B27265">
        <w:rPr>
          <w:color w:val="auto"/>
          <w:lang w:eastAsia="sk-SK"/>
        </w:rPr>
        <w:t>’ Access to Advocacy</w:t>
      </w:r>
      <w:bookmarkEnd w:id="13"/>
      <w:bookmarkEnd w:id="14"/>
      <w:bookmarkEnd w:id="15"/>
    </w:p>
    <w:p w14:paraId="5D23BE60" w14:textId="2F27FD46" w:rsidR="00B179BE" w:rsidRPr="00B179BE" w:rsidRDefault="00B179BE" w:rsidP="00836D51">
      <w:pPr>
        <w:pStyle w:val="Paragraph"/>
        <w:jc w:val="left"/>
      </w:pPr>
      <w:r w:rsidRPr="00B179BE">
        <w:t xml:space="preserve">This organisation will seek to make advocacy available to any </w:t>
      </w:r>
      <w:r w:rsidR="007F25D1">
        <w:t>Service User</w:t>
      </w:r>
      <w:r w:rsidRPr="00B179BE">
        <w:t xml:space="preserve"> who needs help in presenting their views by:</w:t>
      </w:r>
    </w:p>
    <w:p w14:paraId="3F4B5140" w14:textId="516D27F1" w:rsidR="00B179BE" w:rsidRPr="00B179BE" w:rsidRDefault="00B179BE" w:rsidP="00836D51">
      <w:pPr>
        <w:pStyle w:val="List1"/>
        <w:jc w:val="left"/>
      </w:pPr>
      <w:r w:rsidRPr="00B179BE">
        <w:t>Publicising information on local advocacy schemes</w:t>
      </w:r>
      <w:r w:rsidR="00836D51">
        <w:t>.</w:t>
      </w:r>
    </w:p>
    <w:p w14:paraId="4778DF10" w14:textId="2B95555D" w:rsidR="00B179BE" w:rsidRPr="00B179BE" w:rsidRDefault="00B179BE" w:rsidP="00836D51">
      <w:pPr>
        <w:pStyle w:val="List1"/>
        <w:jc w:val="left"/>
      </w:pPr>
      <w:r w:rsidRPr="00B179BE">
        <w:t>Involving advocates, where appropriate, in the preparation and review of individual care plans</w:t>
      </w:r>
      <w:r w:rsidR="00836D51">
        <w:t>.</w:t>
      </w:r>
    </w:p>
    <w:p w14:paraId="0312485A" w14:textId="3520FCFA" w:rsidR="00B179BE" w:rsidRPr="00B179BE" w:rsidRDefault="00B179BE" w:rsidP="00836D51">
      <w:pPr>
        <w:pStyle w:val="List1"/>
        <w:jc w:val="left"/>
      </w:pPr>
      <w:r w:rsidRPr="00B179BE">
        <w:t xml:space="preserve">Using advocates to promote </w:t>
      </w:r>
      <w:r w:rsidR="007F25D1">
        <w:t>Service User</w:t>
      </w:r>
      <w:r w:rsidRPr="00B179BE">
        <w:t xml:space="preserve"> participation in the running of the organisation</w:t>
      </w:r>
      <w:r w:rsidR="00836D51">
        <w:t>.</w:t>
      </w:r>
    </w:p>
    <w:p w14:paraId="6F6E4882" w14:textId="0A71334C" w:rsidR="00B179BE" w:rsidRPr="00B179BE" w:rsidRDefault="00B179BE" w:rsidP="00836D51">
      <w:pPr>
        <w:pStyle w:val="List1"/>
        <w:jc w:val="left"/>
      </w:pPr>
      <w:r w:rsidRPr="00B179BE">
        <w:t xml:space="preserve">Helping </w:t>
      </w:r>
      <w:r w:rsidR="007F25D1">
        <w:t>Service Users</w:t>
      </w:r>
      <w:r w:rsidRPr="00B179BE">
        <w:t xml:space="preserve"> to find and participate in advocacy schemes</w:t>
      </w:r>
      <w:r w:rsidR="00836D51">
        <w:t>.</w:t>
      </w:r>
    </w:p>
    <w:p w14:paraId="74E09CAF" w14:textId="590A606E" w:rsidR="00B179BE" w:rsidRPr="00B179BE" w:rsidRDefault="00B179BE" w:rsidP="00836D51">
      <w:pPr>
        <w:pStyle w:val="List1"/>
        <w:jc w:val="left"/>
      </w:pPr>
      <w:r w:rsidRPr="00B179BE">
        <w:lastRenderedPageBreak/>
        <w:t xml:space="preserve">Seeking peer support for individual </w:t>
      </w:r>
      <w:r w:rsidR="007F25D1">
        <w:t>Service Users</w:t>
      </w:r>
      <w:r w:rsidRPr="00B179BE">
        <w:t xml:space="preserve"> from people who share their disability, heritage or aspirations</w:t>
      </w:r>
      <w:r w:rsidR="00836D51">
        <w:t>.</w:t>
      </w:r>
    </w:p>
    <w:p w14:paraId="67E7E746" w14:textId="0334571A" w:rsidR="00B179BE" w:rsidRPr="00B179BE" w:rsidRDefault="00B179BE" w:rsidP="00836D51">
      <w:pPr>
        <w:pStyle w:val="List1"/>
        <w:jc w:val="left"/>
      </w:pPr>
      <w:r w:rsidRPr="00B179BE">
        <w:t xml:space="preserve">Promoting a culture </w:t>
      </w:r>
      <w:r w:rsidR="00836D51">
        <w:t>that</w:t>
      </w:r>
      <w:r w:rsidRPr="00B179BE">
        <w:t xml:space="preserve"> enables </w:t>
      </w:r>
      <w:r w:rsidR="007F25D1">
        <w:t>Service Users</w:t>
      </w:r>
      <w:r w:rsidRPr="00B179BE">
        <w:t xml:space="preserve"> to call on advocates to express their concerns and provide feedback on the way the organisation is run</w:t>
      </w:r>
      <w:r w:rsidR="00836D51">
        <w:t>.</w:t>
      </w:r>
    </w:p>
    <w:p w14:paraId="46A05274" w14:textId="7A0EDFE7" w:rsidR="00B179BE" w:rsidRPr="00B179BE" w:rsidRDefault="00B179BE" w:rsidP="00836D51">
      <w:pPr>
        <w:pStyle w:val="List1"/>
        <w:jc w:val="left"/>
      </w:pPr>
      <w:r w:rsidRPr="00B179BE">
        <w:t xml:space="preserve">Respecting the role of advocates in situations in which </w:t>
      </w:r>
      <w:r w:rsidR="007F25D1">
        <w:t>Service Users</w:t>
      </w:r>
      <w:r w:rsidRPr="00B179BE">
        <w:t xml:space="preserve"> wish to complain about services</w:t>
      </w:r>
      <w:r w:rsidR="00836D51">
        <w:t>.</w:t>
      </w:r>
    </w:p>
    <w:p w14:paraId="0F8806CF" w14:textId="3D893EED" w:rsidR="00B179BE" w:rsidRPr="00B179BE" w:rsidRDefault="00B179BE" w:rsidP="00836D51">
      <w:pPr>
        <w:pStyle w:val="List1"/>
        <w:jc w:val="left"/>
      </w:pPr>
      <w:r w:rsidRPr="00B179BE">
        <w:t xml:space="preserve">Co-operating with any </w:t>
      </w:r>
      <w:r w:rsidR="00836D51" w:rsidRPr="00B179BE">
        <w:t xml:space="preserve">independent mental capacity advocate </w:t>
      </w:r>
      <w:r w:rsidRPr="00B179BE">
        <w:t xml:space="preserve">(IMCA) appointed to assist a </w:t>
      </w:r>
      <w:r w:rsidR="007F25D1">
        <w:t>Service User</w:t>
      </w:r>
      <w:r w:rsidRPr="00B179BE">
        <w:t xml:space="preserve"> under the </w:t>
      </w:r>
      <w:r w:rsidRPr="00836D51">
        <w:t>Mental Capacity Act 2005.</w:t>
      </w:r>
    </w:p>
    <w:p w14:paraId="7079DE6E" w14:textId="29D8CFDC" w:rsidR="00B179BE" w:rsidRPr="001C3D52" w:rsidRDefault="00B179BE" w:rsidP="00836D51">
      <w:pPr>
        <w:pStyle w:val="Heading1"/>
        <w:rPr>
          <w:color w:val="auto"/>
          <w:lang w:eastAsia="sk-SK"/>
        </w:rPr>
      </w:pPr>
      <w:bookmarkStart w:id="16" w:name="_Toc408410315"/>
      <w:bookmarkStart w:id="17" w:name="_Toc408495421"/>
      <w:bookmarkStart w:id="18" w:name="_Toc409430936"/>
      <w:r w:rsidRPr="001C3D52">
        <w:rPr>
          <w:color w:val="auto"/>
          <w:lang w:eastAsia="sk-SK"/>
        </w:rPr>
        <w:t>Advocates Appointed under the Mental Capacity Act 2005</w:t>
      </w:r>
      <w:bookmarkEnd w:id="16"/>
      <w:bookmarkEnd w:id="17"/>
      <w:bookmarkEnd w:id="18"/>
    </w:p>
    <w:p w14:paraId="0E571AC0" w14:textId="7183E911" w:rsidR="00B179BE" w:rsidRPr="00B179BE" w:rsidRDefault="00B179BE" w:rsidP="00836D51">
      <w:pPr>
        <w:pStyle w:val="Paragraph"/>
        <w:jc w:val="left"/>
      </w:pPr>
      <w:r w:rsidRPr="00B179BE">
        <w:t xml:space="preserve">This organisation recognises the role </w:t>
      </w:r>
      <w:r w:rsidRPr="008E4554">
        <w:t xml:space="preserve">under the Mental Capacity Act 2005 </w:t>
      </w:r>
      <w:r w:rsidR="008E4554" w:rsidRPr="008E4554">
        <w:t>(</w:t>
      </w:r>
      <w:r w:rsidR="008E4554">
        <w:t xml:space="preserve">MCA) </w:t>
      </w:r>
      <w:r w:rsidRPr="00B179BE">
        <w:t>of the IMCA, who can be formally appointed to support someone who lacks capacity,</w:t>
      </w:r>
      <w:r w:rsidR="008E4554">
        <w:t xml:space="preserve"> e.g.</w:t>
      </w:r>
      <w:r w:rsidRPr="00B179BE">
        <w:t xml:space="preserve"> a </w:t>
      </w:r>
      <w:r w:rsidR="007F25D1">
        <w:t>Service User</w:t>
      </w:r>
      <w:r w:rsidRPr="00B179BE">
        <w:t xml:space="preserve"> with advanced dementia or severe learning difficulty. The IMCA’s task is to make representations about the person’s wishes, feelings, beliefs and values, to bring to the attention of </w:t>
      </w:r>
      <w:r w:rsidR="007F25D1">
        <w:t>decision-makers</w:t>
      </w:r>
      <w:r w:rsidRPr="00B179BE">
        <w:t xml:space="preserve"> all relevant factors, and to challenge decisions if necessary. An example of a key decision would be if the carers of a </w:t>
      </w:r>
      <w:r w:rsidR="007F25D1">
        <w:t>Service User</w:t>
      </w:r>
      <w:r w:rsidRPr="00B179BE">
        <w:t xml:space="preserve"> decided </w:t>
      </w:r>
      <w:r w:rsidR="008E4554">
        <w:t>they</w:t>
      </w:r>
      <w:r w:rsidRPr="00B179BE">
        <w:t xml:space="preserve"> should move to a care home without attempting to involve the person in the decision.</w:t>
      </w:r>
    </w:p>
    <w:p w14:paraId="3EA9E3BC" w14:textId="2806EBD0" w:rsidR="00B179BE" w:rsidRPr="00B179BE" w:rsidRDefault="00B179BE" w:rsidP="00836D51">
      <w:pPr>
        <w:pStyle w:val="Paragraph"/>
        <w:jc w:val="left"/>
      </w:pPr>
      <w:r w:rsidRPr="00B179BE">
        <w:t xml:space="preserve">This organisation will encourage the appointment of an IMCA where a </w:t>
      </w:r>
      <w:r w:rsidR="007F25D1">
        <w:t>Service User</w:t>
      </w:r>
      <w:r w:rsidRPr="00B179BE">
        <w:t>, who has been assessed as lacking mental capacity, needs to take a key decision that affects or possibly compromises the service delivery that has been agreed upon with the organisation.</w:t>
      </w:r>
    </w:p>
    <w:p w14:paraId="16926EAD" w14:textId="4DBE85DC" w:rsidR="00B179BE" w:rsidRPr="00B179BE" w:rsidRDefault="00B179BE" w:rsidP="00836D51">
      <w:pPr>
        <w:pStyle w:val="Paragraph"/>
        <w:jc w:val="left"/>
      </w:pPr>
      <w:r w:rsidRPr="00B179BE">
        <w:t xml:space="preserve">This organisation then undertakes to </w:t>
      </w:r>
      <w:r w:rsidR="007F25D1">
        <w:t>cooperate</w:t>
      </w:r>
      <w:r w:rsidRPr="00B179BE">
        <w:t xml:space="preserve"> with the advocate to arrive at a decision that represents the </w:t>
      </w:r>
      <w:r w:rsidR="007F25D1">
        <w:t>Service User</w:t>
      </w:r>
      <w:r w:rsidRPr="00B179BE">
        <w:t xml:space="preserve">’s best interests. The organisation will at all times follow the principles and practices laid down </w:t>
      </w:r>
      <w:r w:rsidR="00C40BE1">
        <w:t xml:space="preserve">by </w:t>
      </w:r>
      <w:r w:rsidR="008E4554">
        <w:t xml:space="preserve">the MCA, </w:t>
      </w:r>
      <w:r w:rsidRPr="00B179BE">
        <w:t>as described in its code of practice.</w:t>
      </w:r>
    </w:p>
    <w:p w14:paraId="416E63C2" w14:textId="3B97F08A" w:rsidR="00B179BE" w:rsidRPr="001C3D52" w:rsidRDefault="00B14A79" w:rsidP="00836D51">
      <w:pPr>
        <w:pStyle w:val="Heading1"/>
      </w:pPr>
      <w:r w:rsidRPr="002E7BED">
        <w:t>Related Policies</w:t>
      </w:r>
    </w:p>
    <w:p w14:paraId="6271FB72" w14:textId="77777777" w:rsidR="00B179BE" w:rsidRPr="00B179BE" w:rsidRDefault="00B179BE" w:rsidP="00836D51">
      <w:pPr>
        <w:pStyle w:val="Paragraph"/>
        <w:jc w:val="left"/>
      </w:pPr>
      <w:r w:rsidRPr="00B179BE">
        <w:t>Accessible Information and Communication</w:t>
      </w:r>
    </w:p>
    <w:p w14:paraId="49C81F14" w14:textId="77777777" w:rsidR="00B179BE" w:rsidRPr="00B179BE" w:rsidRDefault="00B179BE" w:rsidP="00836D51">
      <w:pPr>
        <w:pStyle w:val="Paragraph"/>
        <w:jc w:val="left"/>
      </w:pPr>
      <w:r w:rsidRPr="00B179BE">
        <w:t>Adult Safeguarding</w:t>
      </w:r>
    </w:p>
    <w:p w14:paraId="1D5D13DD" w14:textId="77777777" w:rsidR="00B179BE" w:rsidRPr="00B179BE" w:rsidRDefault="00B179BE" w:rsidP="00836D51">
      <w:pPr>
        <w:pStyle w:val="Paragraph"/>
        <w:jc w:val="left"/>
      </w:pPr>
      <w:r w:rsidRPr="00B179BE">
        <w:t>Assessment of Need and Eligibility</w:t>
      </w:r>
    </w:p>
    <w:p w14:paraId="16CFD7B6" w14:textId="77777777" w:rsidR="00B179BE" w:rsidRPr="00B179BE" w:rsidRDefault="00B179BE" w:rsidP="00836D51">
      <w:pPr>
        <w:pStyle w:val="Paragraph"/>
        <w:jc w:val="left"/>
      </w:pPr>
      <w:r w:rsidRPr="00B179BE">
        <w:t>Consent</w:t>
      </w:r>
    </w:p>
    <w:p w14:paraId="3E930D1A" w14:textId="77777777" w:rsidR="00B179BE" w:rsidRPr="00B179BE" w:rsidRDefault="00B179BE" w:rsidP="00836D51">
      <w:pPr>
        <w:pStyle w:val="Paragraph"/>
        <w:jc w:val="left"/>
      </w:pPr>
      <w:r w:rsidRPr="00B179BE">
        <w:t>Deprivation of Liberty Safeguards</w:t>
      </w:r>
    </w:p>
    <w:p w14:paraId="2A6A69D3" w14:textId="77777777" w:rsidR="00B179BE" w:rsidRPr="00B179BE" w:rsidRDefault="00B179BE" w:rsidP="00836D51">
      <w:pPr>
        <w:pStyle w:val="Paragraph"/>
        <w:jc w:val="left"/>
      </w:pPr>
      <w:r w:rsidRPr="00B179BE">
        <w:t>Dignity and Respect</w:t>
      </w:r>
    </w:p>
    <w:p w14:paraId="4F6A9327" w14:textId="77777777" w:rsidR="00B179BE" w:rsidRPr="00B179BE" w:rsidRDefault="00B179BE" w:rsidP="00836D51">
      <w:pPr>
        <w:pStyle w:val="Paragraph"/>
        <w:jc w:val="left"/>
      </w:pPr>
      <w:r w:rsidRPr="00B179BE">
        <w:t>Equality and Diversity</w:t>
      </w:r>
    </w:p>
    <w:p w14:paraId="1E38D17A" w14:textId="77777777" w:rsidR="00051AD1" w:rsidRDefault="00B179BE" w:rsidP="00836D51">
      <w:pPr>
        <w:pStyle w:val="Paragraph"/>
        <w:jc w:val="left"/>
      </w:pPr>
      <w:r w:rsidRPr="00B179BE">
        <w:t>Mental Capacity Act 2005</w:t>
      </w:r>
    </w:p>
    <w:p w14:paraId="548D60BC" w14:textId="17596C74" w:rsidR="00051AD1" w:rsidRDefault="00004397" w:rsidP="00836D51">
      <w:pPr>
        <w:pStyle w:val="Heading1"/>
      </w:pPr>
      <w:r>
        <w:br/>
      </w:r>
      <w:r w:rsidR="00B02087" w:rsidRPr="002E7BED">
        <w:t>Related Guidance</w:t>
      </w:r>
    </w:p>
    <w:p w14:paraId="159A7EF9" w14:textId="77777777" w:rsidR="00D81A6C" w:rsidRDefault="00B02087" w:rsidP="00287124">
      <w:pPr>
        <w:pStyle w:val="Paragraph"/>
        <w:spacing w:before="0" w:after="0" w:line="240" w:lineRule="auto"/>
        <w:jc w:val="left"/>
        <w:rPr>
          <w:rFonts w:eastAsia="HGGothicM"/>
          <w:bCs/>
          <w:color w:val="FF0000"/>
          <w:lang w:bidi="en-US"/>
        </w:rPr>
      </w:pPr>
      <w:r w:rsidRPr="00814C64">
        <w:rPr>
          <w:rFonts w:eastAsia="HGGothicM"/>
          <w:bCs/>
          <w:lang w:bidi="en-US"/>
        </w:rPr>
        <w:t>NHS Someone to speak up for you (advocate)</w:t>
      </w:r>
      <w:r w:rsidR="008E4554">
        <w:rPr>
          <w:rFonts w:eastAsia="HGGothicM"/>
          <w:bCs/>
          <w:lang w:bidi="en-US"/>
        </w:rPr>
        <w:t>:</w:t>
      </w:r>
    </w:p>
    <w:p w14:paraId="18EF500A" w14:textId="0424B7D9" w:rsidR="00051AD1" w:rsidRDefault="00000000" w:rsidP="00287124">
      <w:pPr>
        <w:pStyle w:val="Paragraph"/>
        <w:spacing w:before="0" w:after="0" w:line="240" w:lineRule="auto"/>
        <w:jc w:val="left"/>
        <w:rPr>
          <w:rFonts w:eastAsia="HGGothicM"/>
          <w:bCs/>
          <w:color w:val="365F91" w:themeColor="accent1" w:themeShade="BF"/>
          <w:lang w:bidi="en-US"/>
        </w:rPr>
      </w:pPr>
      <w:hyperlink r:id="rId14" w:history="1">
        <w:r w:rsidR="00D81A6C" w:rsidRPr="00103EE0">
          <w:rPr>
            <w:rStyle w:val="Hyperlink"/>
            <w:rFonts w:eastAsia="HGGothicM"/>
            <w:bCs/>
            <w:lang w:bidi="en-US"/>
          </w:rPr>
          <w:t>https://www.nhs.uk</w:t>
        </w:r>
      </w:hyperlink>
      <w:r w:rsidR="001D7B97">
        <w:rPr>
          <w:rFonts w:eastAsia="HGGothicM"/>
          <w:bCs/>
          <w:lang w:bidi="en-US"/>
        </w:rPr>
        <w:t xml:space="preserve"> </w:t>
      </w:r>
      <w:r w:rsidR="00B02087" w:rsidRPr="00FA26C6">
        <w:rPr>
          <w:rFonts w:eastAsia="HGGothicM"/>
          <w:bCs/>
          <w:color w:val="365F91" w:themeColor="accent1" w:themeShade="BF"/>
          <w:lang w:bidi="en-US"/>
        </w:rPr>
        <w:t xml:space="preserve"> </w:t>
      </w:r>
    </w:p>
    <w:p w14:paraId="68EDA445" w14:textId="77777777" w:rsidR="00D81A6C" w:rsidRDefault="00B02087" w:rsidP="00287124">
      <w:pPr>
        <w:pStyle w:val="Paragraph"/>
        <w:spacing w:before="0" w:after="0" w:line="240" w:lineRule="auto"/>
        <w:jc w:val="left"/>
        <w:rPr>
          <w:rFonts w:eastAsia="HGGothicM"/>
          <w:bCs/>
          <w:lang w:bidi="en-US"/>
        </w:rPr>
      </w:pPr>
      <w:r w:rsidRPr="00814C64">
        <w:rPr>
          <w:rFonts w:eastAsia="HGGothicM"/>
          <w:bCs/>
          <w:lang w:bidi="en-US"/>
        </w:rPr>
        <w:t>Rethink Mental Illness</w:t>
      </w:r>
      <w:r w:rsidR="008E4554">
        <w:rPr>
          <w:rFonts w:eastAsia="HGGothicM"/>
          <w:bCs/>
          <w:lang w:bidi="en-US"/>
        </w:rPr>
        <w:t>:</w:t>
      </w:r>
    </w:p>
    <w:p w14:paraId="6971A24E" w14:textId="452C99E3" w:rsidR="00B02087" w:rsidRDefault="00000000" w:rsidP="00287124">
      <w:pPr>
        <w:pStyle w:val="Paragraph"/>
        <w:spacing w:before="0" w:after="0" w:line="240" w:lineRule="auto"/>
        <w:jc w:val="left"/>
        <w:rPr>
          <w:rFonts w:eastAsia="HGGothicM"/>
          <w:bCs/>
          <w:color w:val="365F91" w:themeColor="accent1" w:themeShade="BF"/>
          <w:lang w:bidi="en-US"/>
        </w:rPr>
      </w:pPr>
      <w:hyperlink r:id="rId15" w:history="1">
        <w:r w:rsidR="00D81A6C" w:rsidRPr="00103EE0">
          <w:rPr>
            <w:rStyle w:val="Hyperlink"/>
            <w:rFonts w:eastAsia="HGGothicM"/>
            <w:bCs/>
            <w:lang w:bidi="en-US"/>
          </w:rPr>
          <w:t>https://www.rethink.org</w:t>
        </w:r>
      </w:hyperlink>
      <w:r w:rsidR="001D7B97">
        <w:rPr>
          <w:rFonts w:eastAsia="HGGothicM"/>
          <w:bCs/>
          <w:lang w:bidi="en-US"/>
        </w:rPr>
        <w:t xml:space="preserve"> </w:t>
      </w:r>
      <w:r w:rsidR="00B02087" w:rsidRPr="00FA26C6">
        <w:rPr>
          <w:rFonts w:eastAsia="HGGothicM"/>
          <w:bCs/>
          <w:color w:val="365F91" w:themeColor="accent1" w:themeShade="BF"/>
          <w:lang w:bidi="en-US"/>
        </w:rPr>
        <w:t xml:space="preserve"> </w:t>
      </w:r>
    </w:p>
    <w:p w14:paraId="5B187FBE" w14:textId="77777777" w:rsidR="00287124" w:rsidRDefault="00287124" w:rsidP="00287124">
      <w:pPr>
        <w:pStyle w:val="Paragraph"/>
        <w:spacing w:before="0" w:after="0" w:line="240" w:lineRule="auto"/>
        <w:jc w:val="left"/>
        <w:rPr>
          <w:rFonts w:eastAsia="HGGothicM"/>
          <w:bCs/>
          <w:color w:val="365F91" w:themeColor="accent1" w:themeShade="BF"/>
          <w:lang w:bidi="en-US"/>
        </w:rPr>
      </w:pPr>
    </w:p>
    <w:p w14:paraId="05B683F0" w14:textId="41C1CE99" w:rsidR="00D81A6C" w:rsidRDefault="008E4554" w:rsidP="00287124">
      <w:pPr>
        <w:pStyle w:val="Paragraph"/>
        <w:spacing w:before="0" w:after="0" w:line="240" w:lineRule="auto"/>
        <w:jc w:val="left"/>
        <w:rPr>
          <w:rFonts w:eastAsia="HGGothicM"/>
          <w:bCs/>
          <w:color w:val="FF0000"/>
          <w:lang w:bidi="en-US"/>
        </w:rPr>
      </w:pPr>
      <w:r>
        <w:rPr>
          <w:rFonts w:eastAsia="HGGothicM"/>
          <w:bCs/>
          <w:lang w:bidi="en-US"/>
        </w:rPr>
        <w:lastRenderedPageBreak/>
        <w:t xml:space="preserve">CQC </w:t>
      </w:r>
      <w:r w:rsidR="00B02087" w:rsidRPr="00814C64">
        <w:rPr>
          <w:rFonts w:eastAsia="HGGothicM"/>
          <w:bCs/>
          <w:lang w:bidi="en-US"/>
        </w:rPr>
        <w:t>Regulation 9</w:t>
      </w:r>
      <w:r>
        <w:rPr>
          <w:rFonts w:eastAsia="HGGothicM"/>
          <w:bCs/>
          <w:lang w:bidi="en-US"/>
        </w:rPr>
        <w:t>:</w:t>
      </w:r>
      <w:r w:rsidR="00B02087" w:rsidRPr="00814C64">
        <w:rPr>
          <w:rFonts w:eastAsia="HGGothicM"/>
          <w:bCs/>
          <w:lang w:bidi="en-US"/>
        </w:rPr>
        <w:t xml:space="preserve"> </w:t>
      </w:r>
      <w:r w:rsidR="007F25D1">
        <w:rPr>
          <w:rFonts w:eastAsia="HGGothicM"/>
          <w:bCs/>
          <w:lang w:bidi="en-US"/>
        </w:rPr>
        <w:t>Person-Centred</w:t>
      </w:r>
      <w:r w:rsidR="00B02087" w:rsidRPr="00814C64">
        <w:rPr>
          <w:rFonts w:eastAsia="HGGothicM"/>
          <w:bCs/>
          <w:lang w:bidi="en-US"/>
        </w:rPr>
        <w:t xml:space="preserve"> Care</w:t>
      </w:r>
      <w:r>
        <w:rPr>
          <w:rFonts w:eastAsia="HGGothicM"/>
          <w:bCs/>
          <w:lang w:bidi="en-US"/>
        </w:rPr>
        <w:t>:</w:t>
      </w:r>
    </w:p>
    <w:p w14:paraId="6E5AADE4" w14:textId="08BF4BAE" w:rsidR="008D537D" w:rsidRDefault="00000000" w:rsidP="00287124">
      <w:pPr>
        <w:pStyle w:val="Paragraph"/>
        <w:spacing w:before="0" w:after="0" w:line="240" w:lineRule="auto"/>
        <w:jc w:val="left"/>
        <w:rPr>
          <w:rFonts w:eastAsia="HGGothicM"/>
          <w:b/>
          <w:bCs/>
          <w:color w:val="FF0000"/>
          <w:lang w:bidi="en-US"/>
        </w:rPr>
      </w:pPr>
      <w:hyperlink r:id="rId16" w:history="1">
        <w:r w:rsidR="00D81A6C" w:rsidRPr="00103EE0">
          <w:rPr>
            <w:rStyle w:val="Hyperlink"/>
            <w:rFonts w:eastAsia="HGGothicM"/>
            <w:bCs/>
            <w:lang w:bidi="en-US"/>
          </w:rPr>
          <w:t>https://www.cqc.org.uk/</w:t>
        </w:r>
      </w:hyperlink>
      <w:r w:rsidR="001D7B97">
        <w:rPr>
          <w:rFonts w:eastAsia="HGGothicM"/>
          <w:bCs/>
          <w:lang w:bidi="en-US"/>
        </w:rPr>
        <w:t xml:space="preserve"> </w:t>
      </w:r>
      <w:r w:rsidR="00B02087">
        <w:rPr>
          <w:rFonts w:eastAsia="HGGothicM"/>
          <w:b/>
          <w:bCs/>
          <w:color w:val="FF0000"/>
          <w:lang w:bidi="en-US"/>
        </w:rPr>
        <w:t xml:space="preserve"> </w:t>
      </w:r>
    </w:p>
    <w:p w14:paraId="2DC6F833" w14:textId="77777777" w:rsidR="00287124" w:rsidRDefault="00287124" w:rsidP="00287124">
      <w:pPr>
        <w:pStyle w:val="Paragraph"/>
        <w:spacing w:before="0" w:after="0" w:line="240" w:lineRule="auto"/>
        <w:jc w:val="left"/>
        <w:rPr>
          <w:rFonts w:eastAsia="HGGothicM"/>
          <w:b/>
          <w:bCs/>
          <w:color w:val="FF0000"/>
          <w:lang w:bidi="en-US"/>
        </w:rPr>
      </w:pPr>
    </w:p>
    <w:p w14:paraId="543E40BB" w14:textId="77777777" w:rsidR="00287124" w:rsidRPr="00287124" w:rsidRDefault="00287124" w:rsidP="00287124">
      <w:pPr>
        <w:pStyle w:val="Paragraph"/>
        <w:spacing w:before="0" w:after="0" w:line="240" w:lineRule="auto"/>
        <w:jc w:val="left"/>
      </w:pPr>
      <w:r w:rsidRPr="00287124">
        <w:t>NICE guideline [NG227]: Advocacy services for adults with health and social care needs</w:t>
      </w:r>
    </w:p>
    <w:p w14:paraId="73462624" w14:textId="1589D454" w:rsidR="00287124" w:rsidRPr="00287124" w:rsidRDefault="00000000" w:rsidP="00287124">
      <w:pPr>
        <w:pStyle w:val="Paragraph"/>
        <w:spacing w:before="0" w:after="0" w:line="240" w:lineRule="auto"/>
        <w:jc w:val="left"/>
      </w:pPr>
      <w:hyperlink r:id="rId17" w:history="1">
        <w:r w:rsidR="00287124" w:rsidRPr="007C1656">
          <w:rPr>
            <w:rStyle w:val="Hyperlink"/>
          </w:rPr>
          <w:t>https://www.nice.org.uk/guidance/ng227</w:t>
        </w:r>
      </w:hyperlink>
      <w:r w:rsidR="00287124">
        <w:t xml:space="preserve"> </w:t>
      </w:r>
      <w:r w:rsidR="00287124" w:rsidRPr="00287124">
        <w:t xml:space="preserve"> </w:t>
      </w:r>
    </w:p>
    <w:p w14:paraId="26710253" w14:textId="5CA2647F" w:rsidR="00B02087" w:rsidRPr="001C3D52" w:rsidRDefault="00004397" w:rsidP="00836D51">
      <w:pPr>
        <w:pStyle w:val="Heading1"/>
      </w:pPr>
      <w:r>
        <w:br/>
      </w:r>
      <w:r w:rsidR="00B02087" w:rsidRPr="001C3D52">
        <w:t>Training Statement</w:t>
      </w:r>
    </w:p>
    <w:p w14:paraId="2FD825B6" w14:textId="766F846F" w:rsidR="001C3D52" w:rsidRDefault="001C3D52" w:rsidP="00836D51">
      <w:pPr>
        <w:pStyle w:val="Paragraph"/>
        <w:jc w:val="left"/>
        <w:rPr>
          <w:rFonts w:eastAsia="HGGothicM"/>
          <w:b/>
        </w:rPr>
      </w:pPr>
      <w:bookmarkStart w:id="19" w:name="_Hlk529282654"/>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w:t>
      </w:r>
      <w:r w:rsidR="007F25D1">
        <w:rPr>
          <w:rFonts w:eastAsia="HGGothicM"/>
        </w:rPr>
        <w:t>one-to-one</w:t>
      </w:r>
      <w:r w:rsidRPr="000A1D64">
        <w:rPr>
          <w:rFonts w:eastAsia="HGGothicM"/>
        </w:rPr>
        <w:t xml:space="preserve">, online, workbook, group meetings, </w:t>
      </w:r>
      <w:r>
        <w:rPr>
          <w:rFonts w:eastAsia="HGGothicM"/>
        </w:rPr>
        <w:t xml:space="preserve">and </w:t>
      </w:r>
      <w:r w:rsidRPr="000A1D64">
        <w:rPr>
          <w:rFonts w:eastAsia="HGGothicM"/>
        </w:rPr>
        <w:t xml:space="preserve">individual </w:t>
      </w:r>
      <w:r w:rsidR="007F25D1">
        <w:rPr>
          <w:rFonts w:eastAsia="HGGothicM"/>
        </w:rPr>
        <w:t>supervision</w:t>
      </w:r>
      <w:r>
        <w:rPr>
          <w:rFonts w:eastAsia="HGGothicM"/>
        </w:rPr>
        <w:t xml:space="preserve">. </w:t>
      </w:r>
      <w:bookmarkEnd w:id="19"/>
    </w:p>
    <w:p w14:paraId="555B30AC" w14:textId="3784861A" w:rsidR="00B017F7" w:rsidRDefault="00B017F7" w:rsidP="00836D51">
      <w:pPr>
        <w:spacing w:after="160" w:line="259" w:lineRule="auto"/>
        <w:rPr>
          <w:rFonts w:ascii="Arial" w:eastAsia="Calibri" w:hAnsi="Arial" w:cs="Arial"/>
          <w:lang w:val="en-GB"/>
        </w:rPr>
      </w:pPr>
    </w:p>
    <w:p w14:paraId="0BE49E11" w14:textId="3ED1BDB9" w:rsidR="00F15ADE" w:rsidRDefault="00B84457" w:rsidP="00F15ADE">
      <w:pPr>
        <w:pStyle w:val="WPParagraph"/>
      </w:pPr>
      <w:r>
        <w:t>Date Reviewed: May 2023</w:t>
      </w:r>
    </w:p>
    <w:p w14:paraId="5C90B828" w14:textId="1A6D72F0" w:rsidR="00F15ADE" w:rsidRDefault="00F15ADE" w:rsidP="00F15ADE">
      <w:pPr>
        <w:pStyle w:val="WPParagraph"/>
      </w:pPr>
      <w:r>
        <w:t xml:space="preserve">Person responsible for updating this policy: </w:t>
      </w:r>
      <w:r w:rsidR="00AC3717" w:rsidRPr="00D60FDF">
        <w:rPr>
          <w:b/>
          <w:bCs/>
        </w:rPr>
        <w:t>IFEYINWA ODOEMENAM</w:t>
      </w:r>
    </w:p>
    <w:p w14:paraId="36F5C966" w14:textId="2B253D6F" w:rsidR="00F15ADE" w:rsidRDefault="00B84457" w:rsidP="00F15ADE">
      <w:pPr>
        <w:pStyle w:val="WPParagraph"/>
      </w:pPr>
      <w:r>
        <w:t>Next Review Date: May 2024</w:t>
      </w:r>
    </w:p>
    <w:p w14:paraId="5CC23AE6" w14:textId="77777777" w:rsidR="00B7150E" w:rsidRPr="00213EAC" w:rsidRDefault="00B7150E" w:rsidP="00836D51">
      <w:pPr>
        <w:spacing w:after="160" w:line="259" w:lineRule="auto"/>
        <w:ind w:left="360"/>
        <w:rPr>
          <w:rFonts w:ascii="Arial" w:eastAsia="Calibri" w:hAnsi="Arial" w:cs="Arial"/>
          <w:sz w:val="24"/>
          <w:szCs w:val="24"/>
          <w:lang w:val="en-GB"/>
        </w:rPr>
      </w:pPr>
    </w:p>
    <w:sectPr w:rsidR="00B7150E" w:rsidRPr="00213EA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10B2" w14:textId="77777777" w:rsidR="00084B18" w:rsidRDefault="00084B18" w:rsidP="00815DED">
      <w:pPr>
        <w:spacing w:after="0" w:line="240" w:lineRule="auto"/>
      </w:pPr>
      <w:r>
        <w:separator/>
      </w:r>
    </w:p>
  </w:endnote>
  <w:endnote w:type="continuationSeparator" w:id="0">
    <w:p w14:paraId="1A7669EB" w14:textId="77777777" w:rsidR="00084B18" w:rsidRDefault="00084B18"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B45E" w14:textId="77777777" w:rsidR="00A710CD" w:rsidRDefault="00A71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4C57" w14:textId="77777777" w:rsidR="00A710CD" w:rsidRDefault="00A71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7622" w14:textId="77777777" w:rsidR="00A710CD" w:rsidRDefault="00A71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3A17" w14:textId="77777777" w:rsidR="00084B18" w:rsidRDefault="00084B18" w:rsidP="00815DED">
      <w:pPr>
        <w:spacing w:after="0" w:line="240" w:lineRule="auto"/>
      </w:pPr>
      <w:r>
        <w:separator/>
      </w:r>
    </w:p>
  </w:footnote>
  <w:footnote w:type="continuationSeparator" w:id="0">
    <w:p w14:paraId="7F3DFE83" w14:textId="77777777" w:rsidR="00084B18" w:rsidRDefault="00084B18"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60D7" w14:textId="77777777" w:rsidR="00A710CD" w:rsidRDefault="00A71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8495" w14:textId="77777777" w:rsidR="00A710CD" w:rsidRDefault="00A71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6A6B" w14:textId="77777777" w:rsidR="00A710CD" w:rsidRDefault="00A71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E1119"/>
    <w:multiLevelType w:val="hybridMultilevel"/>
    <w:tmpl w:val="56C2AA4C"/>
    <w:lvl w:ilvl="0" w:tplc="42DAFCA8">
      <w:numFmt w:val="bullet"/>
      <w:pStyle w:val="WP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D5FDC"/>
    <w:multiLevelType w:val="multilevel"/>
    <w:tmpl w:val="922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B6053"/>
    <w:multiLevelType w:val="hybridMultilevel"/>
    <w:tmpl w:val="324A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D5B22"/>
    <w:multiLevelType w:val="multilevel"/>
    <w:tmpl w:val="BBBA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DA2CD8"/>
    <w:multiLevelType w:val="hybridMultilevel"/>
    <w:tmpl w:val="20E0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BB4407F"/>
    <w:multiLevelType w:val="multilevel"/>
    <w:tmpl w:val="0FBE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4681F"/>
    <w:multiLevelType w:val="multilevel"/>
    <w:tmpl w:val="17988464"/>
    <w:lvl w:ilvl="0">
      <w:start w:val="1"/>
      <w:numFmt w:val="bullet"/>
      <w:pStyle w:val="List1"/>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98900009">
    <w:abstractNumId w:val="0"/>
  </w:num>
  <w:num w:numId="2" w16cid:durableId="1532649362">
    <w:abstractNumId w:val="9"/>
  </w:num>
  <w:num w:numId="3" w16cid:durableId="939722557">
    <w:abstractNumId w:val="8"/>
  </w:num>
  <w:num w:numId="4" w16cid:durableId="1547446183">
    <w:abstractNumId w:val="6"/>
  </w:num>
  <w:num w:numId="5" w16cid:durableId="1685324651">
    <w:abstractNumId w:val="4"/>
  </w:num>
  <w:num w:numId="6" w16cid:durableId="1416829030">
    <w:abstractNumId w:val="7"/>
  </w:num>
  <w:num w:numId="7" w16cid:durableId="334839980">
    <w:abstractNumId w:val="2"/>
  </w:num>
  <w:num w:numId="8" w16cid:durableId="1845900984">
    <w:abstractNumId w:val="5"/>
  </w:num>
  <w:num w:numId="9" w16cid:durableId="631178685">
    <w:abstractNumId w:val="10"/>
  </w:num>
  <w:num w:numId="10" w16cid:durableId="847713390">
    <w:abstractNumId w:val="3"/>
  </w:num>
  <w:num w:numId="11" w16cid:durableId="134270656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wNLewtLCwtDQ1MjBW0lEKTi0uzszPAykwrAUAvqYZRiwAAAA="/>
  </w:docVars>
  <w:rsids>
    <w:rsidRoot w:val="00B14A79"/>
    <w:rsid w:val="00004397"/>
    <w:rsid w:val="00044FA8"/>
    <w:rsid w:val="00051AD1"/>
    <w:rsid w:val="00084B18"/>
    <w:rsid w:val="000912FA"/>
    <w:rsid w:val="000A78A2"/>
    <w:rsid w:val="000B62E7"/>
    <w:rsid w:val="000D57FE"/>
    <w:rsid w:val="00107F3C"/>
    <w:rsid w:val="0012003A"/>
    <w:rsid w:val="001306FA"/>
    <w:rsid w:val="00130784"/>
    <w:rsid w:val="001400F3"/>
    <w:rsid w:val="00171F21"/>
    <w:rsid w:val="00185518"/>
    <w:rsid w:val="001A77C9"/>
    <w:rsid w:val="001B6FD5"/>
    <w:rsid w:val="001C2CEF"/>
    <w:rsid w:val="001C3D52"/>
    <w:rsid w:val="001C4E2E"/>
    <w:rsid w:val="001D7B97"/>
    <w:rsid w:val="001F10B8"/>
    <w:rsid w:val="001F6BE2"/>
    <w:rsid w:val="00203C18"/>
    <w:rsid w:val="00213EAC"/>
    <w:rsid w:val="0023341D"/>
    <w:rsid w:val="0028436C"/>
    <w:rsid w:val="00284C02"/>
    <w:rsid w:val="00287124"/>
    <w:rsid w:val="002B7E9C"/>
    <w:rsid w:val="002C0981"/>
    <w:rsid w:val="002D1A16"/>
    <w:rsid w:val="002E7BED"/>
    <w:rsid w:val="00307FD1"/>
    <w:rsid w:val="00351F95"/>
    <w:rsid w:val="003613E9"/>
    <w:rsid w:val="00367A62"/>
    <w:rsid w:val="00384C73"/>
    <w:rsid w:val="003914D3"/>
    <w:rsid w:val="003C26D4"/>
    <w:rsid w:val="003D4883"/>
    <w:rsid w:val="003E3592"/>
    <w:rsid w:val="00407BE1"/>
    <w:rsid w:val="00410DEF"/>
    <w:rsid w:val="00425870"/>
    <w:rsid w:val="00444DF9"/>
    <w:rsid w:val="00460527"/>
    <w:rsid w:val="004751AF"/>
    <w:rsid w:val="004D6BBE"/>
    <w:rsid w:val="0050013C"/>
    <w:rsid w:val="00513C46"/>
    <w:rsid w:val="00581398"/>
    <w:rsid w:val="0058142B"/>
    <w:rsid w:val="005D62E1"/>
    <w:rsid w:val="005D72C8"/>
    <w:rsid w:val="005D75B8"/>
    <w:rsid w:val="005F5F71"/>
    <w:rsid w:val="00612293"/>
    <w:rsid w:val="00702ADC"/>
    <w:rsid w:val="00706ECD"/>
    <w:rsid w:val="00712909"/>
    <w:rsid w:val="007444D4"/>
    <w:rsid w:val="00750926"/>
    <w:rsid w:val="0075163C"/>
    <w:rsid w:val="00795779"/>
    <w:rsid w:val="00797737"/>
    <w:rsid w:val="007D0C83"/>
    <w:rsid w:val="007E24D0"/>
    <w:rsid w:val="007E2C3A"/>
    <w:rsid w:val="007F25D1"/>
    <w:rsid w:val="00814C64"/>
    <w:rsid w:val="00815DED"/>
    <w:rsid w:val="008243B2"/>
    <w:rsid w:val="00833D99"/>
    <w:rsid w:val="00836D51"/>
    <w:rsid w:val="00837102"/>
    <w:rsid w:val="008516DC"/>
    <w:rsid w:val="008657B1"/>
    <w:rsid w:val="0087249D"/>
    <w:rsid w:val="008A40E8"/>
    <w:rsid w:val="008B09F5"/>
    <w:rsid w:val="008D537D"/>
    <w:rsid w:val="008E0032"/>
    <w:rsid w:val="008E139C"/>
    <w:rsid w:val="008E4554"/>
    <w:rsid w:val="008F5B0A"/>
    <w:rsid w:val="009236E8"/>
    <w:rsid w:val="009254DA"/>
    <w:rsid w:val="00932AD3"/>
    <w:rsid w:val="00950A5E"/>
    <w:rsid w:val="00954464"/>
    <w:rsid w:val="0098221D"/>
    <w:rsid w:val="009909EA"/>
    <w:rsid w:val="009D4D5C"/>
    <w:rsid w:val="009E26CB"/>
    <w:rsid w:val="009F2DD5"/>
    <w:rsid w:val="00A13DB3"/>
    <w:rsid w:val="00A3105C"/>
    <w:rsid w:val="00A5173D"/>
    <w:rsid w:val="00A57EE6"/>
    <w:rsid w:val="00A61A71"/>
    <w:rsid w:val="00A70EB8"/>
    <w:rsid w:val="00A710CD"/>
    <w:rsid w:val="00A83F4E"/>
    <w:rsid w:val="00A9522B"/>
    <w:rsid w:val="00AC3717"/>
    <w:rsid w:val="00AE0D8F"/>
    <w:rsid w:val="00B00A75"/>
    <w:rsid w:val="00B017F7"/>
    <w:rsid w:val="00B02087"/>
    <w:rsid w:val="00B1098C"/>
    <w:rsid w:val="00B1231C"/>
    <w:rsid w:val="00B14A79"/>
    <w:rsid w:val="00B179BE"/>
    <w:rsid w:val="00B27265"/>
    <w:rsid w:val="00B37497"/>
    <w:rsid w:val="00B7150E"/>
    <w:rsid w:val="00B84457"/>
    <w:rsid w:val="00B95E1D"/>
    <w:rsid w:val="00BE738B"/>
    <w:rsid w:val="00C25DB5"/>
    <w:rsid w:val="00C40BE1"/>
    <w:rsid w:val="00C755EA"/>
    <w:rsid w:val="00C946A3"/>
    <w:rsid w:val="00CB51B4"/>
    <w:rsid w:val="00CC38D5"/>
    <w:rsid w:val="00D06E9E"/>
    <w:rsid w:val="00D3410A"/>
    <w:rsid w:val="00D36BEE"/>
    <w:rsid w:val="00D81A6C"/>
    <w:rsid w:val="00D82B0A"/>
    <w:rsid w:val="00DD36A5"/>
    <w:rsid w:val="00DE31F4"/>
    <w:rsid w:val="00E1155C"/>
    <w:rsid w:val="00E16EA0"/>
    <w:rsid w:val="00E44056"/>
    <w:rsid w:val="00E64EED"/>
    <w:rsid w:val="00E80ADC"/>
    <w:rsid w:val="00E87E1C"/>
    <w:rsid w:val="00E93A60"/>
    <w:rsid w:val="00F016B6"/>
    <w:rsid w:val="00F15ADE"/>
    <w:rsid w:val="00F37840"/>
    <w:rsid w:val="00F57767"/>
    <w:rsid w:val="00F90B89"/>
    <w:rsid w:val="00F92E3B"/>
    <w:rsid w:val="00FE3B33"/>
    <w:rsid w:val="00FE5DA4"/>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D52"/>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D52"/>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5D72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1">
    <w:name w:val="List1"/>
    <w:basedOn w:val="Normal"/>
    <w:qFormat/>
    <w:rsid w:val="001C3D52"/>
    <w:pPr>
      <w:numPr>
        <w:numId w:val="9"/>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1C3D52"/>
    <w:pPr>
      <w:spacing w:before="120" w:line="23" w:lineRule="atLeast"/>
      <w:jc w:val="both"/>
    </w:pPr>
    <w:rPr>
      <w:rFonts w:ascii="Arial" w:eastAsia="Times New Roman" w:hAnsi="Arial" w:cs="Arial"/>
      <w:noProof/>
      <w:sz w:val="24"/>
      <w:szCs w:val="24"/>
      <w:lang w:val="en-GB" w:eastAsia="sk-SK"/>
    </w:rPr>
  </w:style>
  <w:style w:type="paragraph" w:customStyle="1" w:styleId="WPParagraph">
    <w:name w:val="W&amp;P Paragraph"/>
    <w:basedOn w:val="Paragraph"/>
    <w:qFormat/>
    <w:rsid w:val="00F15ADE"/>
    <w:pPr>
      <w:jc w:val="left"/>
    </w:pPr>
  </w:style>
  <w:style w:type="paragraph" w:customStyle="1" w:styleId="WPHeading2">
    <w:name w:val="W&amp;P Heading 2"/>
    <w:basedOn w:val="Normal"/>
    <w:qFormat/>
    <w:rsid w:val="009F2DD5"/>
    <w:pPr>
      <w:keepNext/>
      <w:keepLines/>
      <w:widowControl w:val="0"/>
      <w:suppressAutoHyphens/>
      <w:autoSpaceDN w:val="0"/>
      <w:spacing w:before="360" w:line="23" w:lineRule="atLeast"/>
      <w:textAlignment w:val="baseline"/>
      <w:outlineLvl w:val="0"/>
    </w:pPr>
    <w:rPr>
      <w:rFonts w:ascii="Arial" w:eastAsia="HGGothicM" w:hAnsi="Arial" w:cs="Arial"/>
      <w:b/>
      <w:bCs/>
      <w:sz w:val="24"/>
      <w:szCs w:val="24"/>
      <w:lang w:eastAsia="en-GB" w:bidi="en-US"/>
    </w:rPr>
  </w:style>
  <w:style w:type="paragraph" w:customStyle="1" w:styleId="WPBullet">
    <w:name w:val="W&amp;P Bullet"/>
    <w:basedOn w:val="WPParagraph"/>
    <w:qFormat/>
    <w:rsid w:val="009F2DD5"/>
    <w:pPr>
      <w:numPr>
        <w:numId w:val="11"/>
      </w:numPr>
      <w:tabs>
        <w:tab w:val="num" w:pos="6"/>
      </w:tabs>
      <w:ind w:left="366"/>
      <w:contextualSpacing/>
    </w:pPr>
    <w:rPr>
      <w:rFonts w:eastAsia="HGGothic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79644657">
      <w:bodyDiv w:val="1"/>
      <w:marLeft w:val="0"/>
      <w:marRight w:val="0"/>
      <w:marTop w:val="0"/>
      <w:marBottom w:val="0"/>
      <w:divBdr>
        <w:top w:val="none" w:sz="0" w:space="0" w:color="auto"/>
        <w:left w:val="none" w:sz="0" w:space="0" w:color="auto"/>
        <w:bottom w:val="none" w:sz="0" w:space="0" w:color="auto"/>
        <w:right w:val="none" w:sz="0" w:space="0" w:color="auto"/>
      </w:divBdr>
    </w:div>
    <w:div w:id="18174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DKHXZA7SSHQN-167323429-701431</_dlc_DocId>
    <_dlc_DocIdUrl xmlns="9daa91de-cd2d-4d57-bbd1-50f17b14a644">
      <Url>https://wandpassessment.sharepoint.com/sites/Data/_layouts/15/DocIdRedir.aspx?ID=DKHXZA7SSHQN-167323429-701431</Url>
      <Description>DKHXZA7SSHQN-167323429-701431</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4C47EB-147A-4586-BE30-CBD9F899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A64FA-4817-4B08-B31B-48FCA3BBCB08}">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7DFA9F4B-F6B8-4030-8F7D-765161417435}">
  <ds:schemaRefs>
    <ds:schemaRef ds:uri="http://schemas.openxmlformats.org/officeDocument/2006/bibliography"/>
  </ds:schemaRefs>
</ds:datastoreItem>
</file>

<file path=customXml/itemProps4.xml><?xml version="1.0" encoding="utf-8"?>
<ds:datastoreItem xmlns:ds="http://schemas.openxmlformats.org/officeDocument/2006/customXml" ds:itemID="{2456773C-13EE-4330-8A09-23BC9BB9EFC7}">
  <ds:schemaRefs>
    <ds:schemaRef ds:uri="http://schemas.microsoft.com/sharepoint/v3/contenttype/forms"/>
  </ds:schemaRefs>
</ds:datastoreItem>
</file>

<file path=customXml/itemProps5.xml><?xml version="1.0" encoding="utf-8"?>
<ds:datastoreItem xmlns:ds="http://schemas.openxmlformats.org/officeDocument/2006/customXml" ds:itemID="{46C245F9-E496-4D1E-9DA9-A6DA24D0D9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2023-07-21T16:04:00Z</dcterms:created>
  <dcterms:modified xsi:type="dcterms:W3CDTF">2023-07-21T16:04:00Z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5558200</vt:r8>
  </property>
  <property fmtid="{D5CDD505-2E9C-101B-9397-08002B2CF9AE}" pid="4" name="_dlc_DocIdItemGuid">
    <vt:lpwstr>9085c11a-2faf-4316-820d-47dac5caa8bb</vt:lpwstr>
  </property>
  <property fmtid="{D5CDD505-2E9C-101B-9397-08002B2CF9AE}" pid="5" name="MediaServiceImageTags">
    <vt:lpwstr/>
  </property>
  <property fmtid="{D5CDD505-2E9C-101B-9397-08002B2CF9AE}" pid="6" name="GrammarlyDocumentId">
    <vt:lpwstr>87e2e27046dc6fe24648b0386d1deb1cc479378931956f72fc17d7fa32ebd3b7</vt:lpwstr>
  </property>
</Properties>
</file>